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A6625" w14:textId="77777777" w:rsidR="00A333C6" w:rsidRDefault="00A333C6" w:rsidP="00A333C6">
      <w:pPr>
        <w:spacing w:after="120" w:line="240" w:lineRule="auto"/>
        <w:jc w:val="center"/>
        <w:rPr>
          <w:b/>
          <w:bCs/>
          <w:sz w:val="24"/>
          <w:szCs w:val="24"/>
        </w:rPr>
      </w:pPr>
    </w:p>
    <w:p w14:paraId="47FC078E" w14:textId="77777777" w:rsidR="00A333C6" w:rsidRDefault="00A333C6" w:rsidP="00A333C6">
      <w:pPr>
        <w:spacing w:after="120" w:line="240" w:lineRule="auto"/>
        <w:jc w:val="center"/>
        <w:rPr>
          <w:b/>
          <w:bCs/>
          <w:sz w:val="24"/>
          <w:szCs w:val="24"/>
        </w:rPr>
      </w:pPr>
    </w:p>
    <w:p w14:paraId="594FC26B" w14:textId="77777777" w:rsidR="00A333C6" w:rsidRDefault="00A333C6" w:rsidP="00A333C6">
      <w:pPr>
        <w:spacing w:after="120" w:line="240" w:lineRule="auto"/>
        <w:jc w:val="center"/>
        <w:rPr>
          <w:b/>
          <w:bCs/>
          <w:sz w:val="24"/>
          <w:szCs w:val="24"/>
        </w:rPr>
      </w:pPr>
    </w:p>
    <w:p w14:paraId="386C1063" w14:textId="77777777" w:rsidR="00A333C6" w:rsidRDefault="00A333C6" w:rsidP="00A333C6">
      <w:pPr>
        <w:spacing w:after="120" w:line="240" w:lineRule="auto"/>
        <w:jc w:val="center"/>
        <w:rPr>
          <w:b/>
          <w:bCs/>
          <w:sz w:val="24"/>
          <w:szCs w:val="24"/>
        </w:rPr>
      </w:pPr>
    </w:p>
    <w:p w14:paraId="12A3AD1E" w14:textId="2C351544" w:rsidR="00A333C6" w:rsidRDefault="00A333C6" w:rsidP="00A333C6">
      <w:pPr>
        <w:spacing w:after="120" w:line="240" w:lineRule="auto"/>
        <w:rPr>
          <w:b/>
          <w:bCs/>
          <w:sz w:val="24"/>
          <w:szCs w:val="24"/>
        </w:rPr>
      </w:pPr>
    </w:p>
    <w:p w14:paraId="16C364A8" w14:textId="02C30E1E" w:rsidR="00D34A26" w:rsidRDefault="00D34A26" w:rsidP="00A333C6">
      <w:pPr>
        <w:spacing w:after="0" w:line="240" w:lineRule="auto"/>
        <w:rPr>
          <w:sz w:val="24"/>
          <w:szCs w:val="24"/>
        </w:rPr>
      </w:pPr>
      <w:r>
        <w:rPr>
          <w:sz w:val="24"/>
          <w:szCs w:val="24"/>
        </w:rPr>
        <w:t>Mr Robert Doyle</w:t>
      </w:r>
    </w:p>
    <w:p w14:paraId="1001539E" w14:textId="122E32DC" w:rsidR="002A34CF" w:rsidRDefault="002A34CF" w:rsidP="00A333C6">
      <w:pPr>
        <w:spacing w:after="0" w:line="240" w:lineRule="auto"/>
        <w:rPr>
          <w:sz w:val="24"/>
          <w:szCs w:val="24"/>
        </w:rPr>
      </w:pPr>
      <w:r>
        <w:rPr>
          <w:sz w:val="24"/>
          <w:szCs w:val="24"/>
        </w:rPr>
        <w:t>SSVI</w:t>
      </w:r>
    </w:p>
    <w:p w14:paraId="0B7DA27B" w14:textId="41ACA1AE" w:rsidR="00A333C6" w:rsidRDefault="00A333C6" w:rsidP="00A333C6">
      <w:pPr>
        <w:spacing w:after="0" w:line="240" w:lineRule="auto"/>
        <w:rPr>
          <w:sz w:val="24"/>
          <w:szCs w:val="24"/>
        </w:rPr>
      </w:pPr>
      <w:r w:rsidRPr="00A333C6">
        <w:rPr>
          <w:sz w:val="24"/>
          <w:szCs w:val="24"/>
        </w:rPr>
        <w:t xml:space="preserve">Department </w:t>
      </w:r>
      <w:r>
        <w:rPr>
          <w:sz w:val="24"/>
          <w:szCs w:val="24"/>
        </w:rPr>
        <w:t>of Agriculture, Food &amp; the Marine</w:t>
      </w:r>
    </w:p>
    <w:p w14:paraId="19E5E6B4" w14:textId="69269C06" w:rsidR="00A333C6" w:rsidRDefault="00A333C6" w:rsidP="00A333C6">
      <w:pPr>
        <w:spacing w:after="0" w:line="240" w:lineRule="auto"/>
        <w:rPr>
          <w:sz w:val="24"/>
          <w:szCs w:val="24"/>
        </w:rPr>
      </w:pPr>
      <w:r>
        <w:rPr>
          <w:sz w:val="24"/>
          <w:szCs w:val="24"/>
        </w:rPr>
        <w:t>Agriculture House</w:t>
      </w:r>
    </w:p>
    <w:p w14:paraId="6288437C" w14:textId="77777777" w:rsidR="00A333C6" w:rsidRDefault="00A333C6" w:rsidP="00A333C6">
      <w:pPr>
        <w:spacing w:after="0" w:line="240" w:lineRule="auto"/>
        <w:rPr>
          <w:sz w:val="24"/>
          <w:szCs w:val="24"/>
        </w:rPr>
      </w:pPr>
      <w:r>
        <w:rPr>
          <w:sz w:val="24"/>
          <w:szCs w:val="24"/>
        </w:rPr>
        <w:t xml:space="preserve">Kildare Street </w:t>
      </w:r>
      <w:bookmarkStart w:id="0" w:name="_GoBack"/>
      <w:bookmarkEnd w:id="0"/>
    </w:p>
    <w:p w14:paraId="093C7B02" w14:textId="139AE48E" w:rsidR="00A333C6" w:rsidRDefault="00A333C6" w:rsidP="00A333C6">
      <w:pPr>
        <w:spacing w:after="0" w:line="240" w:lineRule="auto"/>
        <w:rPr>
          <w:sz w:val="24"/>
          <w:szCs w:val="24"/>
        </w:rPr>
      </w:pPr>
      <w:r>
        <w:rPr>
          <w:sz w:val="24"/>
          <w:szCs w:val="24"/>
        </w:rPr>
        <w:t>Dublin 2</w:t>
      </w:r>
    </w:p>
    <w:p w14:paraId="383EC8EB" w14:textId="5BAEB516" w:rsidR="00A333C6" w:rsidRDefault="00A333C6" w:rsidP="00A333C6">
      <w:pPr>
        <w:spacing w:after="0" w:line="240" w:lineRule="auto"/>
        <w:rPr>
          <w:sz w:val="24"/>
          <w:szCs w:val="24"/>
        </w:rPr>
      </w:pPr>
    </w:p>
    <w:p w14:paraId="58660567" w14:textId="3F8DF7F3" w:rsidR="00A333C6" w:rsidRPr="00A333C6" w:rsidRDefault="00A333C6" w:rsidP="00A333C6">
      <w:pPr>
        <w:spacing w:after="0" w:line="240" w:lineRule="auto"/>
        <w:rPr>
          <w:sz w:val="24"/>
          <w:szCs w:val="24"/>
        </w:rPr>
      </w:pPr>
      <w:r>
        <w:rPr>
          <w:sz w:val="24"/>
          <w:szCs w:val="24"/>
        </w:rPr>
        <w:t>31</w:t>
      </w:r>
      <w:r w:rsidRPr="00A333C6">
        <w:rPr>
          <w:sz w:val="24"/>
          <w:szCs w:val="24"/>
          <w:vertAlign w:val="superscript"/>
        </w:rPr>
        <w:t>st</w:t>
      </w:r>
      <w:r>
        <w:rPr>
          <w:sz w:val="24"/>
          <w:szCs w:val="24"/>
        </w:rPr>
        <w:t xml:space="preserve"> January 2020</w:t>
      </w:r>
    </w:p>
    <w:p w14:paraId="66323DE1" w14:textId="24BD70F8" w:rsidR="00B94681" w:rsidRDefault="00B94681" w:rsidP="00A333C6">
      <w:pPr>
        <w:spacing w:after="120" w:line="240" w:lineRule="auto"/>
        <w:jc w:val="center"/>
        <w:rPr>
          <w:b/>
          <w:bCs/>
          <w:sz w:val="24"/>
          <w:szCs w:val="24"/>
        </w:rPr>
      </w:pPr>
      <w:r w:rsidRPr="00B94681">
        <w:rPr>
          <w:b/>
          <w:bCs/>
          <w:sz w:val="24"/>
          <w:szCs w:val="24"/>
        </w:rPr>
        <w:t>DAFM Stakeholder Consultation</w:t>
      </w:r>
    </w:p>
    <w:p w14:paraId="0D68763B" w14:textId="53B59D12" w:rsidR="00B94681" w:rsidRDefault="00B94681" w:rsidP="00A333C6">
      <w:pPr>
        <w:spacing w:after="120" w:line="240" w:lineRule="auto"/>
        <w:jc w:val="center"/>
        <w:rPr>
          <w:b/>
          <w:bCs/>
          <w:sz w:val="24"/>
          <w:szCs w:val="24"/>
        </w:rPr>
      </w:pPr>
      <w:r w:rsidRPr="00B94681">
        <w:rPr>
          <w:b/>
          <w:bCs/>
          <w:sz w:val="24"/>
          <w:szCs w:val="24"/>
        </w:rPr>
        <w:t>EU Veterinary Medicinal Products Regulation 2019/6</w:t>
      </w:r>
    </w:p>
    <w:p w14:paraId="79579081" w14:textId="76097AA8" w:rsidR="00B94681" w:rsidRDefault="00B94681" w:rsidP="00A333C6">
      <w:pPr>
        <w:spacing w:after="120" w:line="240" w:lineRule="auto"/>
        <w:jc w:val="center"/>
        <w:rPr>
          <w:b/>
          <w:bCs/>
          <w:sz w:val="24"/>
          <w:szCs w:val="24"/>
        </w:rPr>
      </w:pPr>
      <w:r>
        <w:rPr>
          <w:b/>
          <w:bCs/>
          <w:sz w:val="24"/>
          <w:szCs w:val="24"/>
        </w:rPr>
        <w:t>Response by the Irish Co-operative Organisation Society (ICOS)</w:t>
      </w:r>
    </w:p>
    <w:p w14:paraId="4C0756C2" w14:textId="77777777" w:rsidR="00724397" w:rsidRDefault="00724397" w:rsidP="00A333C6">
      <w:pPr>
        <w:spacing w:after="120" w:line="240" w:lineRule="auto"/>
        <w:jc w:val="both"/>
        <w:rPr>
          <w:b/>
          <w:bCs/>
          <w:sz w:val="24"/>
          <w:szCs w:val="24"/>
        </w:rPr>
      </w:pPr>
    </w:p>
    <w:p w14:paraId="498DC2D5" w14:textId="442FAF42" w:rsidR="00A333C6" w:rsidRDefault="00EA5673" w:rsidP="00A333C6">
      <w:pPr>
        <w:spacing w:after="120" w:line="240" w:lineRule="auto"/>
        <w:jc w:val="both"/>
        <w:rPr>
          <w:b/>
          <w:bCs/>
          <w:sz w:val="24"/>
          <w:szCs w:val="24"/>
        </w:rPr>
      </w:pPr>
      <w:r>
        <w:rPr>
          <w:b/>
          <w:bCs/>
          <w:sz w:val="24"/>
          <w:szCs w:val="24"/>
        </w:rPr>
        <w:t>Introduction</w:t>
      </w:r>
    </w:p>
    <w:p w14:paraId="55BDB17A" w14:textId="69A3FAA8" w:rsidR="00FC16B0" w:rsidRDefault="00FC16B0" w:rsidP="00A333C6">
      <w:pPr>
        <w:spacing w:after="120" w:line="240" w:lineRule="auto"/>
        <w:jc w:val="both"/>
        <w:rPr>
          <w:sz w:val="24"/>
          <w:szCs w:val="24"/>
        </w:rPr>
      </w:pPr>
      <w:r w:rsidRPr="00FC16B0">
        <w:rPr>
          <w:sz w:val="24"/>
          <w:szCs w:val="24"/>
        </w:rPr>
        <w:t>ICOS is pleased to respon</w:t>
      </w:r>
      <w:r w:rsidR="00EA5673">
        <w:rPr>
          <w:sz w:val="24"/>
          <w:szCs w:val="24"/>
        </w:rPr>
        <w:t>d</w:t>
      </w:r>
      <w:r w:rsidRPr="00FC16B0">
        <w:rPr>
          <w:sz w:val="24"/>
          <w:szCs w:val="24"/>
        </w:rPr>
        <w:t xml:space="preserve"> to this important consultation. ICOS and its member co-operative businesses are major contributors to Ireland’s </w:t>
      </w:r>
      <w:r w:rsidR="00994E78">
        <w:rPr>
          <w:sz w:val="24"/>
          <w:szCs w:val="24"/>
        </w:rPr>
        <w:t xml:space="preserve">€14.5 bn </w:t>
      </w:r>
      <w:r w:rsidR="00EA5673">
        <w:rPr>
          <w:sz w:val="24"/>
          <w:szCs w:val="24"/>
        </w:rPr>
        <w:t>agri-</w:t>
      </w:r>
      <w:r w:rsidRPr="00FC16B0">
        <w:rPr>
          <w:sz w:val="24"/>
          <w:szCs w:val="24"/>
        </w:rPr>
        <w:t>food exports</w:t>
      </w:r>
      <w:r w:rsidR="00994E78">
        <w:rPr>
          <w:sz w:val="24"/>
          <w:szCs w:val="24"/>
        </w:rPr>
        <w:t xml:space="preserve">, with dairy sector exports </w:t>
      </w:r>
      <w:r w:rsidR="001D6156">
        <w:rPr>
          <w:sz w:val="24"/>
          <w:szCs w:val="24"/>
        </w:rPr>
        <w:t xml:space="preserve">accounting for </w:t>
      </w:r>
      <w:r w:rsidR="00994E78">
        <w:rPr>
          <w:sz w:val="24"/>
          <w:szCs w:val="24"/>
        </w:rPr>
        <w:t xml:space="preserve">€4.4 bn </w:t>
      </w:r>
      <w:r w:rsidR="001D6156">
        <w:rPr>
          <w:sz w:val="24"/>
          <w:szCs w:val="24"/>
        </w:rPr>
        <w:t xml:space="preserve">and beef </w:t>
      </w:r>
      <w:r w:rsidR="004A70BA">
        <w:rPr>
          <w:sz w:val="24"/>
          <w:szCs w:val="24"/>
        </w:rPr>
        <w:t>&amp;</w:t>
      </w:r>
      <w:r w:rsidR="001D6156">
        <w:rPr>
          <w:sz w:val="24"/>
          <w:szCs w:val="24"/>
        </w:rPr>
        <w:t xml:space="preserve"> other livestock at over €3.9 </w:t>
      </w:r>
      <w:r w:rsidR="004A70BA">
        <w:rPr>
          <w:sz w:val="24"/>
          <w:szCs w:val="24"/>
        </w:rPr>
        <w:t>b</w:t>
      </w:r>
      <w:r w:rsidR="001D6156">
        <w:rPr>
          <w:sz w:val="24"/>
          <w:szCs w:val="24"/>
        </w:rPr>
        <w:t xml:space="preserve">n </w:t>
      </w:r>
      <w:r w:rsidR="00994E78">
        <w:rPr>
          <w:sz w:val="24"/>
          <w:szCs w:val="24"/>
        </w:rPr>
        <w:t xml:space="preserve">in 2019. </w:t>
      </w:r>
    </w:p>
    <w:p w14:paraId="15F07A18" w14:textId="63E277AF" w:rsidR="00C80D58" w:rsidRDefault="00FC16B0" w:rsidP="00A333C6">
      <w:pPr>
        <w:spacing w:after="120" w:line="240" w:lineRule="auto"/>
        <w:jc w:val="both"/>
        <w:rPr>
          <w:sz w:val="24"/>
          <w:szCs w:val="24"/>
        </w:rPr>
      </w:pPr>
      <w:r>
        <w:rPr>
          <w:sz w:val="24"/>
          <w:szCs w:val="24"/>
        </w:rPr>
        <w:t xml:space="preserve">Currently Ireland has over </w:t>
      </w:r>
      <w:r w:rsidR="00B04BE7">
        <w:rPr>
          <w:sz w:val="24"/>
          <w:szCs w:val="24"/>
        </w:rPr>
        <w:t>1,000</w:t>
      </w:r>
      <w:r>
        <w:rPr>
          <w:sz w:val="24"/>
          <w:szCs w:val="24"/>
        </w:rPr>
        <w:t xml:space="preserve"> licenced </w:t>
      </w:r>
      <w:r w:rsidR="00EA5673">
        <w:rPr>
          <w:sz w:val="24"/>
          <w:szCs w:val="24"/>
        </w:rPr>
        <w:t>merchants’</w:t>
      </w:r>
      <w:r>
        <w:rPr>
          <w:sz w:val="24"/>
          <w:szCs w:val="24"/>
        </w:rPr>
        <w:t xml:space="preserve"> </w:t>
      </w:r>
      <w:r w:rsidR="00D70C70">
        <w:rPr>
          <w:sz w:val="24"/>
          <w:szCs w:val="24"/>
        </w:rPr>
        <w:t xml:space="preserve">(LM) </w:t>
      </w:r>
      <w:r>
        <w:rPr>
          <w:sz w:val="24"/>
          <w:szCs w:val="24"/>
        </w:rPr>
        <w:t>outlets approved by the Department of Agriculture Food and the Marine (DAFM)</w:t>
      </w:r>
      <w:r w:rsidR="00EA5673">
        <w:rPr>
          <w:sz w:val="24"/>
          <w:szCs w:val="24"/>
        </w:rPr>
        <w:t>,</w:t>
      </w:r>
      <w:r>
        <w:rPr>
          <w:sz w:val="24"/>
          <w:szCs w:val="24"/>
        </w:rPr>
        <w:t xml:space="preserve"> </w:t>
      </w:r>
      <w:r w:rsidR="00E36E6F">
        <w:rPr>
          <w:sz w:val="24"/>
          <w:szCs w:val="24"/>
        </w:rPr>
        <w:t xml:space="preserve">with </w:t>
      </w:r>
      <w:r w:rsidR="00A529DF">
        <w:rPr>
          <w:sz w:val="24"/>
          <w:szCs w:val="24"/>
        </w:rPr>
        <w:t xml:space="preserve">a significant number </w:t>
      </w:r>
      <w:r>
        <w:rPr>
          <w:sz w:val="24"/>
          <w:szCs w:val="24"/>
        </w:rPr>
        <w:t xml:space="preserve">owned </w:t>
      </w:r>
      <w:r w:rsidR="001D6156">
        <w:rPr>
          <w:sz w:val="24"/>
          <w:szCs w:val="24"/>
        </w:rPr>
        <w:t xml:space="preserve">and operated </w:t>
      </w:r>
      <w:r>
        <w:rPr>
          <w:sz w:val="24"/>
          <w:szCs w:val="24"/>
        </w:rPr>
        <w:t xml:space="preserve">by </w:t>
      </w:r>
      <w:r w:rsidRPr="00FC16B0">
        <w:rPr>
          <w:sz w:val="24"/>
          <w:szCs w:val="24"/>
        </w:rPr>
        <w:t xml:space="preserve">ICOS </w:t>
      </w:r>
      <w:r>
        <w:rPr>
          <w:sz w:val="24"/>
          <w:szCs w:val="24"/>
        </w:rPr>
        <w:t xml:space="preserve">members. This route to market along with private veterinary practices </w:t>
      </w:r>
      <w:r w:rsidR="00D70C70">
        <w:rPr>
          <w:sz w:val="24"/>
          <w:szCs w:val="24"/>
        </w:rPr>
        <w:t xml:space="preserve">(PVP) </w:t>
      </w:r>
      <w:r>
        <w:rPr>
          <w:sz w:val="24"/>
          <w:szCs w:val="24"/>
        </w:rPr>
        <w:t xml:space="preserve">ensures that the widest possible </w:t>
      </w:r>
      <w:r w:rsidR="00EA5673">
        <w:rPr>
          <w:sz w:val="24"/>
          <w:szCs w:val="24"/>
        </w:rPr>
        <w:t>distribution</w:t>
      </w:r>
      <w:r>
        <w:rPr>
          <w:sz w:val="24"/>
          <w:szCs w:val="24"/>
        </w:rPr>
        <w:t xml:space="preserve"> network to enable farmers </w:t>
      </w:r>
      <w:r w:rsidR="00EA5673">
        <w:rPr>
          <w:sz w:val="24"/>
          <w:szCs w:val="24"/>
        </w:rPr>
        <w:t>access</w:t>
      </w:r>
      <w:r>
        <w:rPr>
          <w:sz w:val="24"/>
          <w:szCs w:val="24"/>
        </w:rPr>
        <w:t xml:space="preserve"> to </w:t>
      </w:r>
      <w:r w:rsidR="00EA5673">
        <w:rPr>
          <w:sz w:val="24"/>
          <w:szCs w:val="24"/>
        </w:rPr>
        <w:t>antimicrobial</w:t>
      </w:r>
      <w:r>
        <w:rPr>
          <w:sz w:val="24"/>
          <w:szCs w:val="24"/>
        </w:rPr>
        <w:t xml:space="preserve">, </w:t>
      </w:r>
      <w:r w:rsidR="00EA5673">
        <w:rPr>
          <w:sz w:val="24"/>
          <w:szCs w:val="24"/>
        </w:rPr>
        <w:t>anti-parasitic</w:t>
      </w:r>
      <w:r>
        <w:rPr>
          <w:sz w:val="24"/>
          <w:szCs w:val="24"/>
        </w:rPr>
        <w:t xml:space="preserve"> and anthelminthic products which after</w:t>
      </w:r>
      <w:r w:rsidR="00D70C70">
        <w:rPr>
          <w:sz w:val="24"/>
          <w:szCs w:val="24"/>
        </w:rPr>
        <w:t xml:space="preserve"> </w:t>
      </w:r>
      <w:r>
        <w:rPr>
          <w:sz w:val="24"/>
          <w:szCs w:val="24"/>
        </w:rPr>
        <w:t>28</w:t>
      </w:r>
      <w:r w:rsidRPr="00FC16B0">
        <w:rPr>
          <w:sz w:val="24"/>
          <w:szCs w:val="24"/>
          <w:vertAlign w:val="superscript"/>
        </w:rPr>
        <w:t>th</w:t>
      </w:r>
      <w:r>
        <w:rPr>
          <w:sz w:val="24"/>
          <w:szCs w:val="24"/>
        </w:rPr>
        <w:t xml:space="preserve"> January 2022 </w:t>
      </w:r>
      <w:r w:rsidR="00EA5673">
        <w:rPr>
          <w:sz w:val="24"/>
          <w:szCs w:val="24"/>
        </w:rPr>
        <w:t>may become</w:t>
      </w:r>
      <w:r>
        <w:rPr>
          <w:sz w:val="24"/>
          <w:szCs w:val="24"/>
        </w:rPr>
        <w:t xml:space="preserve"> </w:t>
      </w:r>
      <w:r w:rsidR="00EA5673">
        <w:rPr>
          <w:sz w:val="24"/>
          <w:szCs w:val="24"/>
        </w:rPr>
        <w:t>predominantly</w:t>
      </w:r>
      <w:r>
        <w:rPr>
          <w:sz w:val="24"/>
          <w:szCs w:val="24"/>
        </w:rPr>
        <w:t xml:space="preserve"> </w:t>
      </w:r>
      <w:r w:rsidR="00C80D58">
        <w:rPr>
          <w:sz w:val="24"/>
          <w:szCs w:val="24"/>
        </w:rPr>
        <w:t>p</w:t>
      </w:r>
      <w:r>
        <w:rPr>
          <w:sz w:val="24"/>
          <w:szCs w:val="24"/>
        </w:rPr>
        <w:t>rescription only products</w:t>
      </w:r>
      <w:r w:rsidR="00EA5673">
        <w:rPr>
          <w:sz w:val="24"/>
          <w:szCs w:val="24"/>
        </w:rPr>
        <w:t xml:space="preserve"> </w:t>
      </w:r>
      <w:r>
        <w:rPr>
          <w:sz w:val="24"/>
          <w:szCs w:val="24"/>
        </w:rPr>
        <w:t xml:space="preserve">(POM). </w:t>
      </w:r>
    </w:p>
    <w:p w14:paraId="3AE902BD" w14:textId="116858B8" w:rsidR="00C80D58" w:rsidRDefault="00C80D58" w:rsidP="00A333C6">
      <w:pPr>
        <w:spacing w:after="120" w:line="240" w:lineRule="auto"/>
        <w:jc w:val="both"/>
        <w:rPr>
          <w:sz w:val="24"/>
          <w:szCs w:val="24"/>
        </w:rPr>
      </w:pPr>
      <w:r>
        <w:rPr>
          <w:sz w:val="24"/>
          <w:szCs w:val="24"/>
        </w:rPr>
        <w:t>As f</w:t>
      </w:r>
      <w:r w:rsidR="00EA5673">
        <w:rPr>
          <w:sz w:val="24"/>
          <w:szCs w:val="24"/>
        </w:rPr>
        <w:t>ood</w:t>
      </w:r>
      <w:r w:rsidR="00FC16B0" w:rsidRPr="00FC16B0">
        <w:rPr>
          <w:sz w:val="24"/>
          <w:szCs w:val="24"/>
        </w:rPr>
        <w:t xml:space="preserve"> processors </w:t>
      </w:r>
      <w:r>
        <w:rPr>
          <w:sz w:val="24"/>
          <w:szCs w:val="24"/>
        </w:rPr>
        <w:t xml:space="preserve">we </w:t>
      </w:r>
      <w:r w:rsidR="00FC16B0" w:rsidRPr="00FC16B0">
        <w:rPr>
          <w:sz w:val="24"/>
          <w:szCs w:val="24"/>
        </w:rPr>
        <w:t xml:space="preserve">have </w:t>
      </w:r>
      <w:r>
        <w:rPr>
          <w:sz w:val="24"/>
          <w:szCs w:val="24"/>
        </w:rPr>
        <w:t xml:space="preserve">a much </w:t>
      </w:r>
      <w:r w:rsidR="00FC16B0" w:rsidRPr="00FC16B0">
        <w:rPr>
          <w:sz w:val="24"/>
          <w:szCs w:val="24"/>
        </w:rPr>
        <w:t xml:space="preserve">greater reliance than other </w:t>
      </w:r>
      <w:r w:rsidR="00D70C70">
        <w:rPr>
          <w:sz w:val="24"/>
          <w:szCs w:val="24"/>
        </w:rPr>
        <w:t xml:space="preserve">stakeholders </w:t>
      </w:r>
      <w:r w:rsidR="00FC16B0" w:rsidRPr="00FC16B0">
        <w:rPr>
          <w:sz w:val="24"/>
          <w:szCs w:val="24"/>
        </w:rPr>
        <w:t xml:space="preserve">in </w:t>
      </w:r>
      <w:r>
        <w:rPr>
          <w:sz w:val="24"/>
          <w:szCs w:val="24"/>
        </w:rPr>
        <w:t>ensuring</w:t>
      </w:r>
      <w:r w:rsidR="00FC16B0" w:rsidRPr="00FC16B0">
        <w:rPr>
          <w:sz w:val="24"/>
          <w:szCs w:val="24"/>
        </w:rPr>
        <w:t xml:space="preserve"> food producing animals are cared for and treated with the best possible care and </w:t>
      </w:r>
      <w:r w:rsidR="00EA5673">
        <w:rPr>
          <w:sz w:val="24"/>
          <w:szCs w:val="24"/>
        </w:rPr>
        <w:t xml:space="preserve">any products used to treat these animals </w:t>
      </w:r>
      <w:r w:rsidR="00724397">
        <w:rPr>
          <w:sz w:val="24"/>
          <w:szCs w:val="24"/>
        </w:rPr>
        <w:t xml:space="preserve">must </w:t>
      </w:r>
      <w:r>
        <w:rPr>
          <w:sz w:val="24"/>
          <w:szCs w:val="24"/>
        </w:rPr>
        <w:t xml:space="preserve">fully </w:t>
      </w:r>
      <w:r w:rsidR="00EA5673">
        <w:rPr>
          <w:sz w:val="24"/>
          <w:szCs w:val="24"/>
        </w:rPr>
        <w:t>compl</w:t>
      </w:r>
      <w:r w:rsidR="00724397">
        <w:rPr>
          <w:sz w:val="24"/>
          <w:szCs w:val="24"/>
        </w:rPr>
        <w:t>y</w:t>
      </w:r>
      <w:r w:rsidR="00EA5673">
        <w:rPr>
          <w:sz w:val="24"/>
          <w:szCs w:val="24"/>
        </w:rPr>
        <w:t xml:space="preserve"> with </w:t>
      </w:r>
      <w:r>
        <w:rPr>
          <w:sz w:val="24"/>
          <w:szCs w:val="24"/>
        </w:rPr>
        <w:t>legal requirements</w:t>
      </w:r>
      <w:r w:rsidR="00EA5673">
        <w:rPr>
          <w:sz w:val="24"/>
          <w:szCs w:val="24"/>
        </w:rPr>
        <w:t xml:space="preserve"> and best practice. </w:t>
      </w:r>
    </w:p>
    <w:p w14:paraId="080642C0" w14:textId="083BE9C6" w:rsidR="00724397" w:rsidRDefault="00C80D58" w:rsidP="00A333C6">
      <w:pPr>
        <w:spacing w:after="120" w:line="240" w:lineRule="auto"/>
        <w:jc w:val="both"/>
        <w:rPr>
          <w:sz w:val="24"/>
          <w:szCs w:val="24"/>
        </w:rPr>
      </w:pPr>
      <w:r>
        <w:rPr>
          <w:sz w:val="24"/>
          <w:szCs w:val="24"/>
        </w:rPr>
        <w:t xml:space="preserve">ICOS and its members fully recognise the significant threat to human and animal health posed by Antimicrobial Resistance (AMR). We are committed to playing our part in this regard </w:t>
      </w:r>
      <w:r w:rsidR="002D5B68">
        <w:rPr>
          <w:sz w:val="24"/>
          <w:szCs w:val="24"/>
        </w:rPr>
        <w:t xml:space="preserve">as a </w:t>
      </w:r>
      <w:r>
        <w:rPr>
          <w:sz w:val="24"/>
          <w:szCs w:val="24"/>
        </w:rPr>
        <w:t xml:space="preserve">decrease in </w:t>
      </w:r>
      <w:r w:rsidR="002D5B68">
        <w:rPr>
          <w:sz w:val="24"/>
          <w:szCs w:val="24"/>
        </w:rPr>
        <w:t>Antimicrobial Usage (A</w:t>
      </w:r>
      <w:r>
        <w:rPr>
          <w:sz w:val="24"/>
          <w:szCs w:val="24"/>
        </w:rPr>
        <w:t>MU</w:t>
      </w:r>
      <w:r w:rsidR="002D5B68">
        <w:rPr>
          <w:sz w:val="24"/>
          <w:szCs w:val="24"/>
        </w:rPr>
        <w:t>)</w:t>
      </w:r>
      <w:r>
        <w:rPr>
          <w:sz w:val="24"/>
          <w:szCs w:val="24"/>
        </w:rPr>
        <w:t xml:space="preserve"> is to society’s benefit as a whole, but most of all </w:t>
      </w:r>
      <w:r w:rsidR="00724397">
        <w:rPr>
          <w:sz w:val="24"/>
          <w:szCs w:val="24"/>
        </w:rPr>
        <w:t>to the</w:t>
      </w:r>
      <w:r w:rsidR="002D5B68">
        <w:rPr>
          <w:sz w:val="24"/>
          <w:szCs w:val="24"/>
        </w:rPr>
        <w:t xml:space="preserve"> benefit to </w:t>
      </w:r>
      <w:r>
        <w:rPr>
          <w:sz w:val="24"/>
          <w:szCs w:val="24"/>
        </w:rPr>
        <w:t xml:space="preserve">our suppliers and </w:t>
      </w:r>
      <w:r w:rsidR="002D5B68">
        <w:rPr>
          <w:sz w:val="24"/>
          <w:szCs w:val="24"/>
        </w:rPr>
        <w:t xml:space="preserve">required by our </w:t>
      </w:r>
      <w:r>
        <w:rPr>
          <w:sz w:val="24"/>
          <w:szCs w:val="24"/>
        </w:rPr>
        <w:t>international customers. We as a sector have demonstrated leadership by prohi</w:t>
      </w:r>
      <w:r w:rsidR="002D5B68">
        <w:rPr>
          <w:sz w:val="24"/>
          <w:szCs w:val="24"/>
        </w:rPr>
        <w:t>biting</w:t>
      </w:r>
      <w:r>
        <w:rPr>
          <w:sz w:val="24"/>
          <w:szCs w:val="24"/>
        </w:rPr>
        <w:t xml:space="preserve"> the sale of </w:t>
      </w:r>
      <w:r w:rsidR="00E36E6F">
        <w:rPr>
          <w:sz w:val="24"/>
          <w:szCs w:val="24"/>
        </w:rPr>
        <w:t xml:space="preserve">intramammary tubes containing </w:t>
      </w:r>
      <w:r>
        <w:rPr>
          <w:sz w:val="24"/>
          <w:szCs w:val="24"/>
        </w:rPr>
        <w:t xml:space="preserve">Critically Important Antibiotics (CIA’s) in </w:t>
      </w:r>
      <w:r w:rsidR="00D70C70">
        <w:rPr>
          <w:sz w:val="24"/>
          <w:szCs w:val="24"/>
        </w:rPr>
        <w:t>most co-op</w:t>
      </w:r>
      <w:r>
        <w:rPr>
          <w:sz w:val="24"/>
          <w:szCs w:val="24"/>
        </w:rPr>
        <w:t xml:space="preserve"> retail outlets, which has been positively recognised by the Eur</w:t>
      </w:r>
      <w:r w:rsidR="002D5B68">
        <w:rPr>
          <w:sz w:val="24"/>
          <w:szCs w:val="24"/>
        </w:rPr>
        <w:t xml:space="preserve">opean Commission </w:t>
      </w:r>
      <w:r w:rsidR="00A529DF">
        <w:rPr>
          <w:sz w:val="24"/>
          <w:szCs w:val="24"/>
        </w:rPr>
        <w:t xml:space="preserve">during the recent </w:t>
      </w:r>
      <w:r w:rsidR="002D5B68">
        <w:rPr>
          <w:sz w:val="24"/>
          <w:szCs w:val="24"/>
        </w:rPr>
        <w:t xml:space="preserve">ECDC Country Visit. </w:t>
      </w:r>
      <w:r w:rsidR="00EE6250">
        <w:rPr>
          <w:sz w:val="24"/>
          <w:szCs w:val="24"/>
        </w:rPr>
        <w:t xml:space="preserve"> </w:t>
      </w:r>
    </w:p>
    <w:p w14:paraId="5690A462" w14:textId="7A40B911" w:rsidR="00C80D58" w:rsidRDefault="00EE6250" w:rsidP="00A333C6">
      <w:pPr>
        <w:spacing w:after="120" w:line="240" w:lineRule="auto"/>
        <w:jc w:val="both"/>
        <w:rPr>
          <w:sz w:val="24"/>
          <w:szCs w:val="24"/>
        </w:rPr>
      </w:pPr>
      <w:r>
        <w:rPr>
          <w:sz w:val="24"/>
          <w:szCs w:val="24"/>
        </w:rPr>
        <w:t xml:space="preserve">ICOS also recognises the substantial risks posed by the development of Anthelmintic Resistance to food production in Ireland, which is primarily grass based and a key element of </w:t>
      </w:r>
      <w:r w:rsidR="00724397">
        <w:rPr>
          <w:sz w:val="24"/>
          <w:szCs w:val="24"/>
        </w:rPr>
        <w:t xml:space="preserve">Ireland’s </w:t>
      </w:r>
      <w:r>
        <w:rPr>
          <w:sz w:val="24"/>
          <w:szCs w:val="24"/>
        </w:rPr>
        <w:t xml:space="preserve">green and sustainable image promoted internationally by Bord Bia and directly by co-ops on international markets. It is vitally important that the efficacy of antiparasitic and </w:t>
      </w:r>
      <w:r>
        <w:rPr>
          <w:sz w:val="24"/>
          <w:szCs w:val="24"/>
        </w:rPr>
        <w:lastRenderedPageBreak/>
        <w:t>anthelmintic products are protected for the benefit of farmers by implementing data driven decisions, development of best practice programmes and awareness building and education.</w:t>
      </w:r>
      <w:r w:rsidR="00724397">
        <w:rPr>
          <w:sz w:val="24"/>
          <w:szCs w:val="24"/>
        </w:rPr>
        <w:t xml:space="preserve"> </w:t>
      </w:r>
    </w:p>
    <w:p w14:paraId="09A4D34E" w14:textId="733D4868" w:rsidR="002D5B68" w:rsidRDefault="00EA5673" w:rsidP="00A333C6">
      <w:pPr>
        <w:spacing w:after="120" w:line="240" w:lineRule="auto"/>
        <w:jc w:val="both"/>
        <w:rPr>
          <w:sz w:val="24"/>
          <w:szCs w:val="24"/>
        </w:rPr>
      </w:pPr>
      <w:r>
        <w:rPr>
          <w:sz w:val="24"/>
          <w:szCs w:val="24"/>
        </w:rPr>
        <w:t xml:space="preserve">Reform of the current distribution network will need careful consideration as many </w:t>
      </w:r>
      <w:r w:rsidR="00D70C70">
        <w:rPr>
          <w:sz w:val="24"/>
          <w:szCs w:val="24"/>
        </w:rPr>
        <w:t>LM’s</w:t>
      </w:r>
      <w:r w:rsidR="00C80D58">
        <w:rPr>
          <w:sz w:val="24"/>
          <w:szCs w:val="24"/>
        </w:rPr>
        <w:t>,</w:t>
      </w:r>
      <w:r>
        <w:rPr>
          <w:sz w:val="24"/>
          <w:szCs w:val="24"/>
        </w:rPr>
        <w:t xml:space="preserve"> be that co</w:t>
      </w:r>
      <w:r w:rsidR="00C80D58">
        <w:rPr>
          <w:sz w:val="24"/>
          <w:szCs w:val="24"/>
        </w:rPr>
        <w:t>-</w:t>
      </w:r>
      <w:r>
        <w:rPr>
          <w:sz w:val="24"/>
          <w:szCs w:val="24"/>
        </w:rPr>
        <w:t>op</w:t>
      </w:r>
      <w:r w:rsidR="00C80D58">
        <w:rPr>
          <w:sz w:val="24"/>
          <w:szCs w:val="24"/>
        </w:rPr>
        <w:t xml:space="preserve"> branches</w:t>
      </w:r>
      <w:r>
        <w:rPr>
          <w:sz w:val="24"/>
          <w:szCs w:val="24"/>
        </w:rPr>
        <w:t xml:space="preserve"> or </w:t>
      </w:r>
      <w:r w:rsidR="00C80D58">
        <w:rPr>
          <w:sz w:val="24"/>
          <w:szCs w:val="24"/>
        </w:rPr>
        <w:t>privately owned</w:t>
      </w:r>
      <w:r>
        <w:rPr>
          <w:sz w:val="24"/>
          <w:szCs w:val="24"/>
        </w:rPr>
        <w:t xml:space="preserve"> are in danger of closing,</w:t>
      </w:r>
      <w:r w:rsidR="002D5B68">
        <w:rPr>
          <w:sz w:val="24"/>
          <w:szCs w:val="24"/>
        </w:rPr>
        <w:t xml:space="preserve"> because they will be at an immediate disadvantage as veterinary practices will have the unfair competitive advantage as being the prescriber and dispenser. This is contrary to </w:t>
      </w:r>
      <w:r w:rsidR="00EE6250">
        <w:rPr>
          <w:sz w:val="24"/>
          <w:szCs w:val="24"/>
        </w:rPr>
        <w:t xml:space="preserve">emerging </w:t>
      </w:r>
      <w:r w:rsidR="00D70C70">
        <w:rPr>
          <w:sz w:val="24"/>
          <w:szCs w:val="24"/>
        </w:rPr>
        <w:t xml:space="preserve">veterinary </w:t>
      </w:r>
      <w:r w:rsidR="002D5B68">
        <w:rPr>
          <w:sz w:val="24"/>
          <w:szCs w:val="24"/>
        </w:rPr>
        <w:t xml:space="preserve">best practice </w:t>
      </w:r>
      <w:r w:rsidR="001C06CD">
        <w:rPr>
          <w:sz w:val="24"/>
          <w:szCs w:val="24"/>
        </w:rPr>
        <w:t>across several EU member states</w:t>
      </w:r>
      <w:r w:rsidR="00C25D0C">
        <w:rPr>
          <w:sz w:val="24"/>
          <w:szCs w:val="24"/>
        </w:rPr>
        <w:t>, such as Italy and Sweden</w:t>
      </w:r>
      <w:r w:rsidR="001C06CD">
        <w:rPr>
          <w:sz w:val="24"/>
          <w:szCs w:val="24"/>
        </w:rPr>
        <w:t xml:space="preserve"> </w:t>
      </w:r>
      <w:r w:rsidR="002D5B68">
        <w:rPr>
          <w:sz w:val="24"/>
          <w:szCs w:val="24"/>
        </w:rPr>
        <w:t>whereby the prescriber cannot dispens</w:t>
      </w:r>
      <w:r w:rsidR="00D70C70">
        <w:rPr>
          <w:sz w:val="24"/>
          <w:szCs w:val="24"/>
        </w:rPr>
        <w:t xml:space="preserve">e, and indeed is contrary to the situation that exists regarding human health i.e. the prescriber cannot dispense. </w:t>
      </w:r>
      <w:r w:rsidR="00A333C6">
        <w:rPr>
          <w:sz w:val="24"/>
          <w:szCs w:val="24"/>
        </w:rPr>
        <w:t>`</w:t>
      </w:r>
    </w:p>
    <w:p w14:paraId="110FB1A0" w14:textId="77777777" w:rsidR="00A333C6" w:rsidRDefault="00A333C6" w:rsidP="00A333C6">
      <w:pPr>
        <w:spacing w:after="120" w:line="240" w:lineRule="auto"/>
        <w:jc w:val="both"/>
        <w:rPr>
          <w:sz w:val="24"/>
          <w:szCs w:val="24"/>
        </w:rPr>
      </w:pPr>
    </w:p>
    <w:p w14:paraId="12CD4D1B" w14:textId="73004A8A" w:rsidR="00945EF9" w:rsidRDefault="00481169" w:rsidP="00A333C6">
      <w:pPr>
        <w:spacing w:after="120" w:line="240" w:lineRule="auto"/>
        <w:jc w:val="both"/>
        <w:rPr>
          <w:b/>
          <w:bCs/>
        </w:rPr>
      </w:pPr>
      <w:r w:rsidRPr="00C87282">
        <w:rPr>
          <w:b/>
          <w:bCs/>
        </w:rPr>
        <w:t>Article 34 – Classification of veterinary medicinal products</w:t>
      </w:r>
    </w:p>
    <w:p w14:paraId="76FB9E3D" w14:textId="77777777" w:rsidR="00D70C70" w:rsidRDefault="00481169" w:rsidP="00A333C6">
      <w:pPr>
        <w:spacing w:after="120" w:line="240" w:lineRule="auto"/>
        <w:jc w:val="both"/>
      </w:pPr>
      <w:r w:rsidRPr="006B057B">
        <w:t xml:space="preserve">We note that the HPRA’s Advisory Committee for Veterinary Medicines has established a Task Force to review the available evidence and report on whether antiparasitic and anthelmintic products are compliant with the criteria contained in Article 34 (3) of Regulation 2019/6 and to consider the likely impact of any change of the method of distribution. The HPRA Task Force has concluded that there is </w:t>
      </w:r>
      <w:r w:rsidR="00D70C70">
        <w:t xml:space="preserve">evidence of </w:t>
      </w:r>
      <w:r w:rsidRPr="006B057B">
        <w:t xml:space="preserve">resistance to anthelmintics in parasites of livestock in Ireland, and indeed across Europe. Risks have also been identified with regard to environmental safety with using these products. </w:t>
      </w:r>
    </w:p>
    <w:p w14:paraId="57F4DFFC" w14:textId="23D8AE1C" w:rsidR="00CA26AE" w:rsidRPr="006B057B" w:rsidRDefault="00D70C70" w:rsidP="00A333C6">
      <w:pPr>
        <w:spacing w:after="120" w:line="240" w:lineRule="auto"/>
        <w:jc w:val="both"/>
      </w:pPr>
      <w:r>
        <w:t>Notably, t</w:t>
      </w:r>
      <w:r w:rsidR="00481169" w:rsidRPr="006B057B">
        <w:t xml:space="preserve">he Task Force concluded that the availability of antiparasitic veterinary medicinal products through </w:t>
      </w:r>
      <w:r>
        <w:t>LM</w:t>
      </w:r>
      <w:r w:rsidR="00481169" w:rsidRPr="006B057B">
        <w:t xml:space="preserve"> outlets does not present a particular risk to public health, as regards residues</w:t>
      </w:r>
      <w:r w:rsidR="00C87282" w:rsidRPr="006B057B">
        <w:t xml:space="preserve">. The HPRA further concluded that the labelling of veterinary medicinal products is generally very comprehensive and includes information on warnings, contraindications, withdrawal periods and potential adverse reactions, and the reported incidences of adverse reactions is extremely rare. As such, the availability of antiparasitic veterinary medicinal products through </w:t>
      </w:r>
      <w:r>
        <w:t>LM</w:t>
      </w:r>
      <w:r w:rsidR="00C87282" w:rsidRPr="006B057B">
        <w:t xml:space="preserve"> outlets does not present a particular risk in that respect. </w:t>
      </w:r>
      <w:r w:rsidR="00CA26AE" w:rsidRPr="006B057B">
        <w:t>The HPRA recommends that these products be upregulated to prescription only</w:t>
      </w:r>
      <w:r w:rsidR="006132C9" w:rsidRPr="006B057B">
        <w:t xml:space="preserve"> (POM)</w:t>
      </w:r>
      <w:r w:rsidR="00CA26AE" w:rsidRPr="006B057B">
        <w:t xml:space="preserve">. It further recommends that the use of parasitological diagnostic services to farmers, be the basis on which the veterinary prescriptions of antiparasitic medicines are generated. </w:t>
      </w:r>
    </w:p>
    <w:p w14:paraId="737B4242" w14:textId="221DF3B6" w:rsidR="00BF74DF" w:rsidRDefault="00CA26AE" w:rsidP="00A333C6">
      <w:pPr>
        <w:spacing w:after="120" w:line="240" w:lineRule="auto"/>
        <w:jc w:val="both"/>
        <w:rPr>
          <w:rFonts w:eastAsia="Times New Roman"/>
          <w:lang w:val="en-IE"/>
        </w:rPr>
      </w:pPr>
      <w:r w:rsidRPr="006B057B">
        <w:t xml:space="preserve">ICOS reminds DAFM that one of the three </w:t>
      </w:r>
      <w:r w:rsidR="006132C9" w:rsidRPr="006B057B">
        <w:t xml:space="preserve">main </w:t>
      </w:r>
      <w:r w:rsidRPr="006B057B">
        <w:t xml:space="preserve">objectives of the new regulation is to </w:t>
      </w:r>
      <w:r w:rsidRPr="006B057B">
        <w:rPr>
          <w:rFonts w:eastAsia="Times New Roman"/>
          <w:lang w:val="en-IE"/>
        </w:rPr>
        <w:t>increase the availability of veterinary medicinal products</w:t>
      </w:r>
      <w:r w:rsidR="006132C9" w:rsidRPr="006B057B">
        <w:rPr>
          <w:rFonts w:eastAsia="Times New Roman"/>
          <w:lang w:val="en-IE"/>
        </w:rPr>
        <w:t xml:space="preserve">. ICOS contends that the maintenance of the current network of over </w:t>
      </w:r>
      <w:r w:rsidR="00B04BE7">
        <w:rPr>
          <w:rFonts w:eastAsia="Times New Roman"/>
          <w:lang w:val="en-IE"/>
        </w:rPr>
        <w:t>1,000</w:t>
      </w:r>
      <w:r w:rsidR="006132C9" w:rsidRPr="006B057B">
        <w:rPr>
          <w:rFonts w:eastAsia="Times New Roman"/>
          <w:lang w:val="en-IE"/>
        </w:rPr>
        <w:t xml:space="preserve"> individual licenced merchants (LM) outlets should be a priority for DAFM. The current proposal from the HPRA to make </w:t>
      </w:r>
      <w:r w:rsidR="006132C9" w:rsidRPr="006B057B">
        <w:t>antiparasitic and anthelmintic products POM will greatly undermine and render many of these outlets economically unviable, as farmers will now be forced to attend their local veterinary surgeon’s office to secure a prescription. They will be unlikely to then go to a LM when the VMPs in question will be available to them at the point of issue of the prescription. An unintended consequence of this recommendation will be a potential market distortion, which will result in less market competition</w:t>
      </w:r>
      <w:r w:rsidR="006B057B" w:rsidRPr="006B057B">
        <w:t xml:space="preserve"> and is contrary to the objective outlined above, which is to </w:t>
      </w:r>
      <w:r w:rsidR="006B057B" w:rsidRPr="006B057B">
        <w:rPr>
          <w:rFonts w:eastAsia="Times New Roman"/>
          <w:lang w:val="en-IE"/>
        </w:rPr>
        <w:t>increase the availability of veterinary medicinal products</w:t>
      </w:r>
      <w:r w:rsidR="00C25D0C">
        <w:rPr>
          <w:rFonts w:eastAsia="Times New Roman"/>
          <w:lang w:val="en-IE"/>
        </w:rPr>
        <w:t>, but especially preventative products such as vaccines</w:t>
      </w:r>
      <w:r w:rsidR="00E205A0">
        <w:rPr>
          <w:rFonts w:eastAsia="Times New Roman"/>
          <w:lang w:val="en-IE"/>
        </w:rPr>
        <w:t>.</w:t>
      </w:r>
    </w:p>
    <w:p w14:paraId="721B4383" w14:textId="77777777" w:rsidR="00A333C6" w:rsidRPr="00BF74DF" w:rsidRDefault="00A333C6" w:rsidP="00A333C6">
      <w:pPr>
        <w:spacing w:after="120" w:line="240" w:lineRule="auto"/>
        <w:jc w:val="both"/>
        <w:rPr>
          <w:rFonts w:eastAsia="Times New Roman"/>
          <w:lang w:val="en-IE"/>
        </w:rPr>
      </w:pPr>
    </w:p>
    <w:p w14:paraId="36F0398B" w14:textId="43C83A8E" w:rsidR="00BF74DF" w:rsidRPr="00BF74DF" w:rsidRDefault="00BF74DF" w:rsidP="00A333C6">
      <w:pPr>
        <w:spacing w:after="120" w:line="240" w:lineRule="auto"/>
        <w:jc w:val="both"/>
        <w:rPr>
          <w:b/>
          <w:bCs/>
        </w:rPr>
      </w:pPr>
      <w:r>
        <w:rPr>
          <w:b/>
          <w:bCs/>
        </w:rPr>
        <w:t>Article 57 – Collection of data on antimicrobial medicinal products used in animals</w:t>
      </w:r>
    </w:p>
    <w:p w14:paraId="7A6EAA09" w14:textId="5E6F2A0E" w:rsidR="006B057B" w:rsidRDefault="006B057B" w:rsidP="00A333C6">
      <w:pPr>
        <w:spacing w:after="120" w:line="240" w:lineRule="auto"/>
        <w:jc w:val="both"/>
        <w:rPr>
          <w:rFonts w:ascii="Calibri" w:eastAsia="Times New Roman" w:hAnsi="Calibri" w:cs="Calibri"/>
          <w:color w:val="000000"/>
          <w:lang w:eastAsia="en-GB"/>
        </w:rPr>
      </w:pPr>
      <w:r w:rsidRPr="006B057B">
        <w:rPr>
          <w:rFonts w:eastAsia="Times New Roman"/>
          <w:lang w:val="en-IE"/>
        </w:rPr>
        <w:t>ICOS contends that the only credible and reliable way to counteract th</w:t>
      </w:r>
      <w:r w:rsidR="00BF74DF">
        <w:rPr>
          <w:rFonts w:eastAsia="Times New Roman"/>
          <w:lang w:val="en-IE"/>
        </w:rPr>
        <w:t>e potential issue of market distortion</w:t>
      </w:r>
      <w:r w:rsidRPr="006B057B">
        <w:rPr>
          <w:rFonts w:eastAsia="Times New Roman"/>
          <w:lang w:val="en-IE"/>
        </w:rPr>
        <w:t>, and to comply with Article 57 of Regulation 2019/6</w:t>
      </w:r>
      <w:r w:rsidR="00BF74DF">
        <w:rPr>
          <w:rFonts w:eastAsia="Times New Roman"/>
          <w:lang w:val="en-IE"/>
        </w:rPr>
        <w:t xml:space="preserve"> related to data collection</w:t>
      </w:r>
      <w:r w:rsidRPr="006B057B">
        <w:rPr>
          <w:rFonts w:eastAsia="Times New Roman"/>
          <w:lang w:val="en-IE"/>
        </w:rPr>
        <w:t xml:space="preserve"> is for all prescriptions for food producing animals to be made available on the Animal Identification and Movements Database (AIM)</w:t>
      </w:r>
      <w:r w:rsidR="00756451">
        <w:rPr>
          <w:rFonts w:eastAsia="Times New Roman"/>
          <w:lang w:val="en-IE"/>
        </w:rPr>
        <w:t xml:space="preserve"> or another equivalent national database</w:t>
      </w:r>
      <w:r w:rsidR="00333957">
        <w:rPr>
          <w:rFonts w:eastAsia="Times New Roman"/>
          <w:lang w:val="en-IE"/>
        </w:rPr>
        <w:t>.</w:t>
      </w:r>
      <w:r w:rsidR="00A333C6">
        <w:rPr>
          <w:rFonts w:eastAsia="Times New Roman"/>
          <w:lang w:val="en-IE"/>
        </w:rPr>
        <w:t xml:space="preserve">  </w:t>
      </w:r>
      <w:r w:rsidRPr="006B057B">
        <w:rPr>
          <w:rFonts w:eastAsia="Times New Roman"/>
          <w:lang w:val="en-IE"/>
        </w:rPr>
        <w:t>This also provides for DAFM’s obligation that Member States</w:t>
      </w:r>
      <w:r w:rsidRPr="006B057B">
        <w:rPr>
          <w:rFonts w:ascii="Calibri" w:eastAsia="Times New Roman" w:hAnsi="Calibri" w:cs="Calibri"/>
          <w:color w:val="000000"/>
          <w:lang w:eastAsia="en-GB"/>
        </w:rPr>
        <w:t xml:space="preserve"> shall send collated data on the volume of sales and the use per animal species and per types of antimicrobial medicinal products used in animals to the EU</w:t>
      </w:r>
      <w:r>
        <w:rPr>
          <w:rFonts w:ascii="Calibri" w:eastAsia="Times New Roman" w:hAnsi="Calibri" w:cs="Calibri"/>
          <w:color w:val="000000"/>
          <w:lang w:eastAsia="en-GB"/>
        </w:rPr>
        <w:t>, and this must be completed before 27</w:t>
      </w:r>
      <w:r w:rsidR="00A333C6" w:rsidRPr="00A333C6">
        <w:rPr>
          <w:rFonts w:ascii="Calibri" w:eastAsia="Times New Roman" w:hAnsi="Calibri" w:cs="Calibri"/>
          <w:color w:val="000000"/>
          <w:vertAlign w:val="superscript"/>
          <w:lang w:eastAsia="en-GB"/>
        </w:rPr>
        <w:t>th</w:t>
      </w:r>
      <w:r w:rsidR="00A333C6">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January 2027. </w:t>
      </w:r>
    </w:p>
    <w:p w14:paraId="66B38C03" w14:textId="707F8968" w:rsidR="004E18EB" w:rsidRDefault="006B057B"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On a practical level, this will translate into </w:t>
      </w:r>
      <w:r w:rsidR="005A5ED6">
        <w:rPr>
          <w:rFonts w:ascii="Calibri" w:eastAsia="Times New Roman" w:hAnsi="Calibri" w:cs="Calibri"/>
          <w:color w:val="000000"/>
          <w:lang w:eastAsia="en-GB"/>
        </w:rPr>
        <w:t xml:space="preserve">a </w:t>
      </w:r>
      <w:r>
        <w:rPr>
          <w:rFonts w:ascii="Calibri" w:eastAsia="Times New Roman" w:hAnsi="Calibri" w:cs="Calibri"/>
          <w:color w:val="000000"/>
          <w:lang w:eastAsia="en-GB"/>
        </w:rPr>
        <w:t>farmer</w:t>
      </w:r>
      <w:r w:rsidR="005A5ED6">
        <w:rPr>
          <w:rFonts w:ascii="Calibri" w:eastAsia="Times New Roman" w:hAnsi="Calibri" w:cs="Calibri"/>
          <w:color w:val="000000"/>
          <w:lang w:eastAsia="en-GB"/>
        </w:rPr>
        <w:t>’</w:t>
      </w:r>
      <w:r>
        <w:rPr>
          <w:rFonts w:ascii="Calibri" w:eastAsia="Times New Roman" w:hAnsi="Calibri" w:cs="Calibri"/>
          <w:color w:val="000000"/>
          <w:lang w:eastAsia="en-GB"/>
        </w:rPr>
        <w:t>s PVP</w:t>
      </w:r>
      <w:r w:rsidR="004E18EB">
        <w:rPr>
          <w:rFonts w:ascii="Calibri" w:eastAsia="Times New Roman" w:hAnsi="Calibri" w:cs="Calibri"/>
          <w:color w:val="000000"/>
          <w:lang w:eastAsia="en-GB"/>
        </w:rPr>
        <w:t xml:space="preserve"> </w:t>
      </w:r>
      <w:r w:rsidR="00C25D0C">
        <w:rPr>
          <w:rFonts w:ascii="Calibri" w:eastAsia="Times New Roman" w:hAnsi="Calibri" w:cs="Calibri"/>
          <w:color w:val="000000"/>
          <w:lang w:eastAsia="en-GB"/>
        </w:rPr>
        <w:t xml:space="preserve">or consulting </w:t>
      </w:r>
      <w:r w:rsidR="00043932">
        <w:rPr>
          <w:rFonts w:ascii="Calibri" w:eastAsia="Times New Roman" w:hAnsi="Calibri" w:cs="Calibri"/>
          <w:color w:val="000000"/>
          <w:lang w:eastAsia="en-GB"/>
        </w:rPr>
        <w:t>c</w:t>
      </w:r>
      <w:r w:rsidR="00C25D0C">
        <w:rPr>
          <w:rFonts w:ascii="Calibri" w:eastAsia="Times New Roman" w:hAnsi="Calibri" w:cs="Calibri"/>
          <w:color w:val="000000"/>
          <w:lang w:eastAsia="en-GB"/>
        </w:rPr>
        <w:t>o</w:t>
      </w:r>
      <w:r w:rsidR="00043932">
        <w:rPr>
          <w:rFonts w:ascii="Calibri" w:eastAsia="Times New Roman" w:hAnsi="Calibri" w:cs="Calibri"/>
          <w:color w:val="000000"/>
          <w:lang w:eastAsia="en-GB"/>
        </w:rPr>
        <w:t>-o</w:t>
      </w:r>
      <w:r w:rsidR="00C25D0C">
        <w:rPr>
          <w:rFonts w:ascii="Calibri" w:eastAsia="Times New Roman" w:hAnsi="Calibri" w:cs="Calibri"/>
          <w:color w:val="000000"/>
          <w:lang w:eastAsia="en-GB"/>
        </w:rPr>
        <w:t xml:space="preserve">p vet </w:t>
      </w:r>
      <w:r w:rsidR="005A5ED6">
        <w:rPr>
          <w:rFonts w:ascii="Calibri" w:eastAsia="Times New Roman" w:hAnsi="Calibri" w:cs="Calibri"/>
          <w:color w:val="000000"/>
          <w:lang w:eastAsia="en-GB"/>
        </w:rPr>
        <w:t>issuing an electronic prescription held on the AIM database</w:t>
      </w:r>
      <w:r w:rsidR="004E18EB">
        <w:rPr>
          <w:rFonts w:ascii="Calibri" w:eastAsia="Times New Roman" w:hAnsi="Calibri" w:cs="Calibri"/>
          <w:color w:val="000000"/>
          <w:lang w:eastAsia="en-GB"/>
        </w:rPr>
        <w:t xml:space="preserve"> </w:t>
      </w:r>
      <w:r w:rsidR="005A5ED6">
        <w:rPr>
          <w:rFonts w:ascii="Calibri" w:eastAsia="Times New Roman" w:hAnsi="Calibri" w:cs="Calibri"/>
          <w:color w:val="000000"/>
          <w:lang w:eastAsia="en-GB"/>
        </w:rPr>
        <w:t>for legally and readily available product</w:t>
      </w:r>
      <w:r w:rsidR="004E18EB">
        <w:rPr>
          <w:rFonts w:ascii="Calibri" w:eastAsia="Times New Roman" w:hAnsi="Calibri" w:cs="Calibri"/>
          <w:color w:val="000000"/>
          <w:lang w:eastAsia="en-GB"/>
        </w:rPr>
        <w:t>s</w:t>
      </w:r>
      <w:r w:rsidR="005A5ED6">
        <w:rPr>
          <w:rFonts w:ascii="Calibri" w:eastAsia="Times New Roman" w:hAnsi="Calibri" w:cs="Calibri"/>
          <w:color w:val="000000"/>
          <w:lang w:eastAsia="en-GB"/>
        </w:rPr>
        <w:t xml:space="preserve"> as authorised by the HPRA</w:t>
      </w:r>
      <w:r w:rsidR="004E18EB">
        <w:rPr>
          <w:rFonts w:ascii="Calibri" w:eastAsia="Times New Roman" w:hAnsi="Calibri" w:cs="Calibri"/>
          <w:color w:val="000000"/>
          <w:lang w:eastAsia="en-GB"/>
        </w:rPr>
        <w:t>. These prescribed products</w:t>
      </w:r>
      <w:r w:rsidR="00333957">
        <w:rPr>
          <w:rFonts w:ascii="Calibri" w:eastAsia="Times New Roman" w:hAnsi="Calibri" w:cs="Calibri"/>
          <w:color w:val="000000"/>
          <w:lang w:eastAsia="en-GB"/>
        </w:rPr>
        <w:t xml:space="preserve"> </w:t>
      </w:r>
      <w:r w:rsidR="004E18EB">
        <w:rPr>
          <w:rFonts w:ascii="Calibri" w:eastAsia="Times New Roman" w:hAnsi="Calibri" w:cs="Calibri"/>
          <w:color w:val="000000"/>
          <w:lang w:eastAsia="en-GB"/>
        </w:rPr>
        <w:t>can then be dispensed in a transparent and extremely competitive manner</w:t>
      </w:r>
      <w:r w:rsidR="005A5ED6">
        <w:rPr>
          <w:rFonts w:ascii="Calibri" w:eastAsia="Times New Roman" w:hAnsi="Calibri" w:cs="Calibri"/>
          <w:color w:val="000000"/>
          <w:lang w:eastAsia="en-GB"/>
        </w:rPr>
        <w:t xml:space="preserve"> in </w:t>
      </w:r>
      <w:r w:rsidR="004E18EB">
        <w:rPr>
          <w:rFonts w:ascii="Calibri" w:eastAsia="Times New Roman" w:hAnsi="Calibri" w:cs="Calibri"/>
          <w:color w:val="000000"/>
          <w:lang w:eastAsia="en-GB"/>
        </w:rPr>
        <w:t xml:space="preserve">the </w:t>
      </w:r>
      <w:r w:rsidR="005A5ED6">
        <w:rPr>
          <w:rFonts w:ascii="Calibri" w:eastAsia="Times New Roman" w:hAnsi="Calibri" w:cs="Calibri"/>
          <w:color w:val="000000"/>
          <w:lang w:eastAsia="en-GB"/>
        </w:rPr>
        <w:t xml:space="preserve">PVP’s office, pharmacy or LM premises. </w:t>
      </w:r>
    </w:p>
    <w:p w14:paraId="6CAEC1A0" w14:textId="1AF9F3D9" w:rsidR="00991490" w:rsidRDefault="005A5ED6"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This allows for full and fair competition and keeps open the widest range of availability of these products. Once the farmer has presented his herd number details to any of the above outlets, the products are dispensed by suitably qualified personnel as currently approved by DAFM, the prescription will</w:t>
      </w:r>
      <w:r w:rsidR="004E18EB">
        <w:rPr>
          <w:rFonts w:ascii="Calibri" w:eastAsia="Times New Roman" w:hAnsi="Calibri" w:cs="Calibri"/>
          <w:color w:val="000000"/>
          <w:lang w:eastAsia="en-GB"/>
        </w:rPr>
        <w:t xml:space="preserve"> then</w:t>
      </w:r>
      <w:r>
        <w:rPr>
          <w:rFonts w:ascii="Calibri" w:eastAsia="Times New Roman" w:hAnsi="Calibri" w:cs="Calibri"/>
          <w:color w:val="000000"/>
          <w:lang w:eastAsia="en-GB"/>
        </w:rPr>
        <w:t xml:space="preserve"> be </w:t>
      </w:r>
      <w:r w:rsidR="004E18EB">
        <w:rPr>
          <w:rFonts w:ascii="Calibri" w:eastAsia="Times New Roman" w:hAnsi="Calibri" w:cs="Calibri"/>
          <w:color w:val="000000"/>
          <w:lang w:eastAsia="en-GB"/>
        </w:rPr>
        <w:t>deleted</w:t>
      </w:r>
      <w:r>
        <w:rPr>
          <w:rFonts w:ascii="Calibri" w:eastAsia="Times New Roman" w:hAnsi="Calibri" w:cs="Calibri"/>
          <w:color w:val="000000"/>
          <w:lang w:eastAsia="en-GB"/>
        </w:rPr>
        <w:t xml:space="preserve"> from the AIM system</w:t>
      </w:r>
      <w:r w:rsidR="004E18EB">
        <w:rPr>
          <w:rFonts w:ascii="Calibri" w:eastAsia="Times New Roman" w:hAnsi="Calibri" w:cs="Calibri"/>
          <w:color w:val="000000"/>
          <w:lang w:eastAsia="en-GB"/>
        </w:rPr>
        <w:t xml:space="preserve"> and therefore cannot be duplicated.</w:t>
      </w:r>
      <w:r>
        <w:rPr>
          <w:rFonts w:ascii="Calibri" w:eastAsia="Times New Roman" w:hAnsi="Calibri" w:cs="Calibri"/>
          <w:color w:val="000000"/>
          <w:lang w:eastAsia="en-GB"/>
        </w:rPr>
        <w:t xml:space="preserve"> This will ensure the integrity of prescriptions </w:t>
      </w:r>
      <w:r w:rsidR="00043932">
        <w:rPr>
          <w:rFonts w:ascii="Calibri" w:eastAsia="Times New Roman" w:hAnsi="Calibri" w:cs="Calibri"/>
          <w:color w:val="000000"/>
          <w:lang w:eastAsia="en-GB"/>
        </w:rPr>
        <w:t xml:space="preserve">used </w:t>
      </w:r>
      <w:r>
        <w:rPr>
          <w:rFonts w:ascii="Calibri" w:eastAsia="Times New Roman" w:hAnsi="Calibri" w:cs="Calibri"/>
          <w:color w:val="000000"/>
          <w:lang w:eastAsia="en-GB"/>
        </w:rPr>
        <w:t>only once will be adhered too with no scope for misuse. Whilst the prescription is electronically stored</w:t>
      </w:r>
      <w:r w:rsidR="00BF74DF">
        <w:rPr>
          <w:rFonts w:ascii="Calibri" w:eastAsia="Times New Roman" w:hAnsi="Calibri" w:cs="Calibri"/>
          <w:color w:val="000000"/>
          <w:lang w:eastAsia="en-GB"/>
        </w:rPr>
        <w:t>, it does not necessitate an ICT capability by the farmer as the PVP</w:t>
      </w:r>
      <w:r w:rsidR="00043932">
        <w:rPr>
          <w:rFonts w:ascii="Calibri" w:eastAsia="Times New Roman" w:hAnsi="Calibri" w:cs="Calibri"/>
          <w:color w:val="000000"/>
          <w:lang w:eastAsia="en-GB"/>
        </w:rPr>
        <w:t xml:space="preserve"> or </w:t>
      </w:r>
      <w:r w:rsidR="00A522E4">
        <w:rPr>
          <w:rFonts w:ascii="Calibri" w:eastAsia="Times New Roman" w:hAnsi="Calibri" w:cs="Calibri"/>
          <w:color w:val="000000"/>
          <w:lang w:eastAsia="en-GB"/>
        </w:rPr>
        <w:t xml:space="preserve">consulting co-op </w:t>
      </w:r>
      <w:r w:rsidR="00043932">
        <w:rPr>
          <w:rFonts w:ascii="Calibri" w:eastAsia="Times New Roman" w:hAnsi="Calibri" w:cs="Calibri"/>
          <w:color w:val="000000"/>
          <w:lang w:eastAsia="en-GB"/>
        </w:rPr>
        <w:t>vet</w:t>
      </w:r>
      <w:r w:rsidR="00BF74DF">
        <w:rPr>
          <w:rFonts w:ascii="Calibri" w:eastAsia="Times New Roman" w:hAnsi="Calibri" w:cs="Calibri"/>
          <w:color w:val="000000"/>
          <w:lang w:eastAsia="en-GB"/>
        </w:rPr>
        <w:t xml:space="preserve"> is creating the prescription either on his handheld device or office</w:t>
      </w:r>
      <w:r w:rsidR="00881FFE">
        <w:rPr>
          <w:rFonts w:ascii="Calibri" w:eastAsia="Times New Roman" w:hAnsi="Calibri" w:cs="Calibri"/>
          <w:color w:val="000000"/>
          <w:lang w:eastAsia="en-GB"/>
        </w:rPr>
        <w:t>-</w:t>
      </w:r>
      <w:r w:rsidR="00BF74DF">
        <w:rPr>
          <w:rFonts w:ascii="Calibri" w:eastAsia="Times New Roman" w:hAnsi="Calibri" w:cs="Calibri"/>
          <w:color w:val="000000"/>
          <w:lang w:eastAsia="en-GB"/>
        </w:rPr>
        <w:t xml:space="preserve">based devices for </w:t>
      </w:r>
      <w:r w:rsidR="00991490">
        <w:rPr>
          <w:rFonts w:ascii="Calibri" w:eastAsia="Times New Roman" w:hAnsi="Calibri" w:cs="Calibri"/>
          <w:color w:val="000000"/>
          <w:lang w:eastAsia="en-GB"/>
        </w:rPr>
        <w:t>s</w:t>
      </w:r>
      <w:r w:rsidR="00333957">
        <w:rPr>
          <w:rFonts w:ascii="Calibri" w:eastAsia="Times New Roman" w:hAnsi="Calibri" w:cs="Calibri"/>
          <w:color w:val="000000"/>
          <w:lang w:eastAsia="en-GB"/>
        </w:rPr>
        <w:t xml:space="preserve">ecure </w:t>
      </w:r>
      <w:r w:rsidR="00BF74DF">
        <w:rPr>
          <w:rFonts w:ascii="Calibri" w:eastAsia="Times New Roman" w:hAnsi="Calibri" w:cs="Calibri"/>
          <w:color w:val="000000"/>
          <w:lang w:eastAsia="en-GB"/>
        </w:rPr>
        <w:t xml:space="preserve">storage on the AIM database. The farmer merely presents him/herself with their herd number to access the product, within 5 days as per Regulation 2019/6. We </w:t>
      </w:r>
      <w:r w:rsidR="00E205A0">
        <w:rPr>
          <w:rFonts w:ascii="Calibri" w:eastAsia="Times New Roman" w:hAnsi="Calibri" w:cs="Calibri"/>
          <w:color w:val="000000"/>
          <w:lang w:eastAsia="en-GB"/>
        </w:rPr>
        <w:t>emphasise</w:t>
      </w:r>
      <w:r w:rsidR="00BF74DF">
        <w:rPr>
          <w:rFonts w:ascii="Calibri" w:eastAsia="Times New Roman" w:hAnsi="Calibri" w:cs="Calibri"/>
          <w:color w:val="000000"/>
          <w:lang w:eastAsia="en-GB"/>
        </w:rPr>
        <w:t xml:space="preserve"> that no ICT skills are required or internet access on behalf of the farmer. </w:t>
      </w:r>
    </w:p>
    <w:p w14:paraId="020C9E08" w14:textId="77777777" w:rsidR="00A333C6" w:rsidRDefault="00A333C6" w:rsidP="00A333C6">
      <w:pPr>
        <w:spacing w:after="120" w:line="240" w:lineRule="auto"/>
        <w:jc w:val="both"/>
        <w:rPr>
          <w:rFonts w:ascii="Calibri" w:eastAsia="Times New Roman" w:hAnsi="Calibri" w:cs="Calibri"/>
          <w:color w:val="000000"/>
          <w:lang w:eastAsia="en-GB"/>
        </w:rPr>
      </w:pPr>
    </w:p>
    <w:p w14:paraId="0AA62B40" w14:textId="7C830C70" w:rsidR="00724397" w:rsidRPr="00724397" w:rsidRDefault="00724397" w:rsidP="00A333C6">
      <w:pPr>
        <w:spacing w:after="120" w:line="240" w:lineRule="auto"/>
        <w:jc w:val="both"/>
        <w:rPr>
          <w:rFonts w:ascii="Calibri" w:eastAsia="Times New Roman" w:hAnsi="Calibri" w:cs="Calibri"/>
          <w:b/>
          <w:bCs/>
          <w:color w:val="000000"/>
          <w:lang w:eastAsia="en-GB"/>
        </w:rPr>
      </w:pPr>
      <w:r w:rsidRPr="00724397">
        <w:rPr>
          <w:rFonts w:ascii="Calibri" w:eastAsia="Times New Roman" w:hAnsi="Calibri" w:cs="Calibri"/>
          <w:b/>
          <w:bCs/>
          <w:color w:val="000000"/>
          <w:lang w:eastAsia="en-GB"/>
        </w:rPr>
        <w:t>Article 103 – Retail of veterinary medicinal products and record keeping</w:t>
      </w:r>
    </w:p>
    <w:p w14:paraId="34EE3C6D" w14:textId="39175659" w:rsidR="001360AA" w:rsidRDefault="00724397"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ICOS members, currently being LM outlets and authorised by DAFM retail a wide range of VMP’s. </w:t>
      </w:r>
      <w:r w:rsidR="006F031A">
        <w:rPr>
          <w:rFonts w:ascii="Calibri" w:eastAsia="Times New Roman" w:hAnsi="Calibri" w:cs="Calibri"/>
          <w:color w:val="000000"/>
          <w:lang w:eastAsia="en-GB"/>
        </w:rPr>
        <w:t xml:space="preserve">ICOS agrees </w:t>
      </w:r>
      <w:r w:rsidR="004E18EB">
        <w:rPr>
          <w:rFonts w:ascii="Calibri" w:eastAsia="Times New Roman" w:hAnsi="Calibri" w:cs="Calibri"/>
          <w:color w:val="000000"/>
          <w:lang w:eastAsia="en-GB"/>
        </w:rPr>
        <w:t xml:space="preserve">that </w:t>
      </w:r>
      <w:r w:rsidR="006F031A">
        <w:rPr>
          <w:rFonts w:ascii="Calibri" w:eastAsia="Times New Roman" w:hAnsi="Calibri" w:cs="Calibri"/>
          <w:color w:val="000000"/>
          <w:lang w:eastAsia="en-GB"/>
        </w:rPr>
        <w:t xml:space="preserve">the proposals outlined under Article 103 </w:t>
      </w:r>
      <w:r w:rsidR="004E18EB">
        <w:rPr>
          <w:rFonts w:ascii="Calibri" w:eastAsia="Times New Roman" w:hAnsi="Calibri" w:cs="Calibri"/>
          <w:color w:val="000000"/>
          <w:lang w:eastAsia="en-GB"/>
        </w:rPr>
        <w:t xml:space="preserve">are achievable </w:t>
      </w:r>
      <w:r w:rsidR="006F031A">
        <w:rPr>
          <w:rFonts w:ascii="Calibri" w:eastAsia="Times New Roman" w:hAnsi="Calibri" w:cs="Calibri"/>
          <w:color w:val="000000"/>
          <w:lang w:eastAsia="en-GB"/>
        </w:rPr>
        <w:t xml:space="preserve">and all our staff are suitably qualified personnel </w:t>
      </w:r>
      <w:r w:rsidR="006E6B5C">
        <w:rPr>
          <w:rFonts w:ascii="Calibri" w:eastAsia="Times New Roman" w:hAnsi="Calibri" w:cs="Calibri"/>
          <w:color w:val="000000"/>
          <w:lang w:eastAsia="en-GB"/>
        </w:rPr>
        <w:t xml:space="preserve">(SQP) </w:t>
      </w:r>
      <w:r w:rsidR="006F031A">
        <w:rPr>
          <w:rFonts w:ascii="Calibri" w:eastAsia="Times New Roman" w:hAnsi="Calibri" w:cs="Calibri"/>
          <w:color w:val="000000"/>
          <w:lang w:eastAsia="en-GB"/>
        </w:rPr>
        <w:t>under the LM regulations as enforced by DAFM</w:t>
      </w:r>
      <w:r w:rsidR="004E18EB">
        <w:rPr>
          <w:rFonts w:ascii="Calibri" w:eastAsia="Times New Roman" w:hAnsi="Calibri" w:cs="Calibri"/>
          <w:color w:val="000000"/>
          <w:lang w:eastAsia="en-GB"/>
        </w:rPr>
        <w:t xml:space="preserve">. This further strengthens the integrity and traceability of VMP availability through the LM outlet. </w:t>
      </w:r>
      <w:r w:rsidR="006E6B5C" w:rsidRPr="006E6B5C">
        <w:rPr>
          <w:rFonts w:ascii="Calibri" w:hAnsi="Calibri" w:cs="Calibri"/>
          <w:lang w:val="en-IE"/>
        </w:rPr>
        <w:t>ICOS members have invested considerably in training their SQP’s so as to operate and comply with the current requirements under the LM regulation.  They are an expertly qualified resource that were trained in the past to comply with the current requirements and consideration needs to be given by DAFM as to how we can utilise and integrate these trained individuals to effectively meet the new objectives of Regulation 20</w:t>
      </w:r>
      <w:r w:rsidR="006E6B5C">
        <w:rPr>
          <w:rFonts w:ascii="Calibri" w:hAnsi="Calibri" w:cs="Calibri"/>
          <w:lang w:val="en-IE"/>
        </w:rPr>
        <w:t>1</w:t>
      </w:r>
      <w:r w:rsidR="006E6B5C" w:rsidRPr="006E6B5C">
        <w:rPr>
          <w:rFonts w:ascii="Calibri" w:hAnsi="Calibri" w:cs="Calibri"/>
          <w:lang w:val="en-IE"/>
        </w:rPr>
        <w:t xml:space="preserve">9/6. </w:t>
      </w:r>
      <w:r w:rsidR="00043932">
        <w:rPr>
          <w:rFonts w:ascii="Calibri" w:eastAsia="Times New Roman" w:hAnsi="Calibri" w:cs="Calibri"/>
          <w:color w:val="000000"/>
          <w:lang w:eastAsia="en-GB"/>
        </w:rPr>
        <w:t xml:space="preserve">An important objective of Regulation 2019/6 is to reduce administrative burdens. We strongly encourage DAFM to ensure that </w:t>
      </w:r>
      <w:r w:rsidR="00C25D0C">
        <w:rPr>
          <w:rFonts w:ascii="Calibri" w:eastAsia="Times New Roman" w:hAnsi="Calibri" w:cs="Calibri"/>
          <w:color w:val="000000"/>
          <w:lang w:eastAsia="en-GB"/>
        </w:rPr>
        <w:t>record</w:t>
      </w:r>
      <w:r w:rsidR="00043932">
        <w:rPr>
          <w:rFonts w:ascii="Calibri" w:eastAsia="Times New Roman" w:hAnsi="Calibri" w:cs="Calibri"/>
          <w:color w:val="000000"/>
          <w:lang w:eastAsia="en-GB"/>
        </w:rPr>
        <w:t xml:space="preserve"> keeping</w:t>
      </w:r>
      <w:r w:rsidR="00C25D0C">
        <w:rPr>
          <w:rFonts w:ascii="Calibri" w:eastAsia="Times New Roman" w:hAnsi="Calibri" w:cs="Calibri"/>
          <w:color w:val="000000"/>
          <w:lang w:eastAsia="en-GB"/>
        </w:rPr>
        <w:t xml:space="preserve"> where possible should be held </w:t>
      </w:r>
      <w:r w:rsidR="001360AA">
        <w:rPr>
          <w:rFonts w:ascii="Calibri" w:eastAsia="Times New Roman" w:hAnsi="Calibri" w:cs="Calibri"/>
          <w:color w:val="000000"/>
          <w:lang w:eastAsia="en-GB"/>
        </w:rPr>
        <w:t>electronically</w:t>
      </w:r>
      <w:r w:rsidR="00C25D0C">
        <w:rPr>
          <w:rFonts w:ascii="Calibri" w:eastAsia="Times New Roman" w:hAnsi="Calibri" w:cs="Calibri"/>
          <w:color w:val="000000"/>
          <w:lang w:eastAsia="en-GB"/>
        </w:rPr>
        <w:t xml:space="preserve"> to </w:t>
      </w:r>
      <w:r w:rsidR="001360AA">
        <w:rPr>
          <w:rFonts w:ascii="Calibri" w:eastAsia="Times New Roman" w:hAnsi="Calibri" w:cs="Calibri"/>
          <w:color w:val="000000"/>
          <w:lang w:eastAsia="en-GB"/>
        </w:rPr>
        <w:t xml:space="preserve">reduce the administration burden </w:t>
      </w:r>
      <w:r w:rsidR="00043932">
        <w:rPr>
          <w:rFonts w:ascii="Calibri" w:eastAsia="Times New Roman" w:hAnsi="Calibri" w:cs="Calibri"/>
          <w:color w:val="000000"/>
          <w:lang w:eastAsia="en-GB"/>
        </w:rPr>
        <w:t>on busines</w:t>
      </w:r>
      <w:r w:rsidR="00A529DF">
        <w:rPr>
          <w:rFonts w:ascii="Calibri" w:eastAsia="Times New Roman" w:hAnsi="Calibri" w:cs="Calibri"/>
          <w:color w:val="000000"/>
          <w:lang w:eastAsia="en-GB"/>
        </w:rPr>
        <w:t xml:space="preserve">s. </w:t>
      </w:r>
    </w:p>
    <w:p w14:paraId="4F586C13" w14:textId="77777777" w:rsidR="00A333C6" w:rsidRDefault="00A333C6" w:rsidP="00A333C6">
      <w:pPr>
        <w:spacing w:after="120" w:line="240" w:lineRule="auto"/>
        <w:jc w:val="both"/>
        <w:rPr>
          <w:rFonts w:ascii="Calibri" w:eastAsia="Times New Roman" w:hAnsi="Calibri" w:cs="Calibri"/>
          <w:color w:val="000000"/>
          <w:lang w:eastAsia="en-GB"/>
        </w:rPr>
      </w:pPr>
    </w:p>
    <w:p w14:paraId="176DB50A" w14:textId="0E03700C" w:rsidR="006F031A" w:rsidRPr="006F031A" w:rsidRDefault="006F031A" w:rsidP="00A333C6">
      <w:pPr>
        <w:spacing w:after="120" w:line="240" w:lineRule="auto"/>
        <w:jc w:val="both"/>
        <w:rPr>
          <w:rFonts w:ascii="Calibri" w:eastAsia="Times New Roman" w:hAnsi="Calibri" w:cs="Calibri"/>
          <w:b/>
          <w:bCs/>
          <w:color w:val="000000"/>
          <w:lang w:eastAsia="en-GB"/>
        </w:rPr>
      </w:pPr>
      <w:r w:rsidRPr="006F031A">
        <w:rPr>
          <w:rFonts w:ascii="Calibri" w:eastAsia="Times New Roman" w:hAnsi="Calibri" w:cs="Calibri"/>
          <w:b/>
          <w:bCs/>
          <w:color w:val="000000"/>
          <w:lang w:eastAsia="en-GB"/>
        </w:rPr>
        <w:t xml:space="preserve">Article 105 – Veterinary Prescriptions </w:t>
      </w:r>
    </w:p>
    <w:p w14:paraId="543A210F" w14:textId="77777777" w:rsidR="00A522E4" w:rsidRDefault="00A522E4"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In terms of ensuring that antimicrobials are used in accordance with the 5 R’s (Right advice, Right animal, Right antibiotic, Right dose and Right duration) we recognise the importance of the proposals under Article 105. </w:t>
      </w:r>
    </w:p>
    <w:p w14:paraId="5D9262EE" w14:textId="06A42095" w:rsidR="00047C03" w:rsidRDefault="006F031A" w:rsidP="00A333C6">
      <w:pPr>
        <w:spacing w:after="120" w:line="240" w:lineRule="auto"/>
        <w:jc w:val="both"/>
      </w:pPr>
      <w:r>
        <w:rPr>
          <w:rFonts w:ascii="Calibri" w:eastAsia="Times New Roman" w:hAnsi="Calibri" w:cs="Calibri"/>
          <w:color w:val="000000"/>
          <w:lang w:eastAsia="en-GB"/>
        </w:rPr>
        <w:t xml:space="preserve">ICOS fully endorses the principle that </w:t>
      </w:r>
      <w:r w:rsidR="00091372">
        <w:rPr>
          <w:rFonts w:ascii="Calibri" w:eastAsia="Times New Roman" w:hAnsi="Calibri" w:cs="Calibri"/>
          <w:color w:val="000000"/>
          <w:lang w:eastAsia="en-GB"/>
        </w:rPr>
        <w:t>all antibiotics</w:t>
      </w:r>
      <w:r>
        <w:rPr>
          <w:rFonts w:ascii="Calibri" w:eastAsia="Times New Roman" w:hAnsi="Calibri" w:cs="Calibri"/>
          <w:color w:val="000000"/>
          <w:lang w:eastAsia="en-GB"/>
        </w:rPr>
        <w:t xml:space="preserve"> </w:t>
      </w:r>
      <w:r w:rsidR="004E18EB">
        <w:rPr>
          <w:rFonts w:ascii="Calibri" w:eastAsia="Times New Roman" w:hAnsi="Calibri" w:cs="Calibri"/>
          <w:color w:val="000000"/>
          <w:lang w:eastAsia="en-GB"/>
        </w:rPr>
        <w:t xml:space="preserve">prescribed </w:t>
      </w:r>
      <w:r>
        <w:rPr>
          <w:rFonts w:ascii="Calibri" w:eastAsia="Times New Roman" w:hAnsi="Calibri" w:cs="Calibri"/>
          <w:color w:val="000000"/>
          <w:lang w:eastAsia="en-GB"/>
        </w:rPr>
        <w:t xml:space="preserve">to food producing animals should </w:t>
      </w:r>
      <w:r w:rsidR="004E18EB">
        <w:rPr>
          <w:rFonts w:ascii="Calibri" w:eastAsia="Times New Roman" w:hAnsi="Calibri" w:cs="Calibri"/>
          <w:color w:val="000000"/>
          <w:lang w:eastAsia="en-GB"/>
        </w:rPr>
        <w:t xml:space="preserve">be </w:t>
      </w:r>
      <w:r>
        <w:rPr>
          <w:rFonts w:ascii="Calibri" w:eastAsia="Times New Roman" w:hAnsi="Calibri" w:cs="Calibri"/>
          <w:color w:val="000000"/>
          <w:lang w:eastAsia="en-GB"/>
        </w:rPr>
        <w:t xml:space="preserve">by POM. </w:t>
      </w:r>
      <w:r w:rsidR="00091372">
        <w:rPr>
          <w:rFonts w:ascii="Calibri" w:eastAsia="Times New Roman" w:hAnsi="Calibri" w:cs="Calibri"/>
          <w:color w:val="000000"/>
          <w:lang w:eastAsia="en-GB"/>
        </w:rPr>
        <w:t>However, t</w:t>
      </w:r>
      <w:r>
        <w:rPr>
          <w:rFonts w:ascii="Calibri" w:eastAsia="Times New Roman" w:hAnsi="Calibri" w:cs="Calibri"/>
          <w:color w:val="000000"/>
          <w:lang w:eastAsia="en-GB"/>
        </w:rPr>
        <w:t xml:space="preserve">his is not exclusively by </w:t>
      </w:r>
      <w:r w:rsidR="00091372">
        <w:rPr>
          <w:rFonts w:ascii="Calibri" w:eastAsia="Times New Roman" w:hAnsi="Calibri" w:cs="Calibri"/>
          <w:color w:val="000000"/>
          <w:lang w:eastAsia="en-GB"/>
        </w:rPr>
        <w:t xml:space="preserve">a </w:t>
      </w:r>
      <w:r>
        <w:rPr>
          <w:rFonts w:ascii="Calibri" w:eastAsia="Times New Roman" w:hAnsi="Calibri" w:cs="Calibri"/>
          <w:color w:val="000000"/>
          <w:lang w:eastAsia="en-GB"/>
        </w:rPr>
        <w:t>clinical visit and Regulation 2019/6 clearly provides for other proper assessment by a veterinarian</w:t>
      </w:r>
      <w:r w:rsidR="00333957">
        <w:rPr>
          <w:rFonts w:ascii="Calibri" w:eastAsia="Times New Roman" w:hAnsi="Calibri" w:cs="Calibri"/>
          <w:color w:val="000000"/>
          <w:lang w:eastAsia="en-GB"/>
        </w:rPr>
        <w:t xml:space="preserve">, which in certain cases </w:t>
      </w:r>
      <w:r w:rsidR="00391D14">
        <w:rPr>
          <w:rFonts w:ascii="Calibri" w:eastAsia="Times New Roman" w:hAnsi="Calibri" w:cs="Calibri"/>
          <w:color w:val="000000"/>
          <w:lang w:eastAsia="en-GB"/>
        </w:rPr>
        <w:t xml:space="preserve">translates into data driven decisions being the </w:t>
      </w:r>
      <w:r w:rsidR="00333957">
        <w:rPr>
          <w:rFonts w:ascii="Calibri" w:eastAsia="Times New Roman" w:hAnsi="Calibri" w:cs="Calibri"/>
          <w:color w:val="000000"/>
          <w:lang w:eastAsia="en-GB"/>
        </w:rPr>
        <w:t xml:space="preserve">more appropriate </w:t>
      </w:r>
      <w:r w:rsidR="00391D14">
        <w:rPr>
          <w:rFonts w:ascii="Calibri" w:eastAsia="Times New Roman" w:hAnsi="Calibri" w:cs="Calibri"/>
          <w:color w:val="000000"/>
          <w:lang w:eastAsia="en-GB"/>
        </w:rPr>
        <w:t xml:space="preserve">method to generate a prescription. </w:t>
      </w:r>
      <w:r>
        <w:rPr>
          <w:rFonts w:ascii="Calibri" w:eastAsia="Times New Roman" w:hAnsi="Calibri" w:cs="Calibri"/>
          <w:color w:val="000000"/>
          <w:lang w:eastAsia="en-GB"/>
        </w:rPr>
        <w:t xml:space="preserve">Currently Schedule 8 </w:t>
      </w:r>
      <w:r w:rsidR="004E18EB">
        <w:rPr>
          <w:rFonts w:ascii="Calibri" w:eastAsia="Times New Roman" w:hAnsi="Calibri" w:cs="Calibri"/>
          <w:color w:val="000000"/>
          <w:lang w:eastAsia="en-GB"/>
        </w:rPr>
        <w:t xml:space="preserve">of S.I. No.786 of 2007 </w:t>
      </w:r>
      <w:r>
        <w:rPr>
          <w:rFonts w:ascii="Calibri" w:eastAsia="Times New Roman" w:hAnsi="Calibri" w:cs="Calibri"/>
          <w:color w:val="000000"/>
          <w:lang w:eastAsia="en-GB"/>
        </w:rPr>
        <w:t>enables certain antimicrobials (intramammary tubes) to be prescribed by a veterinarian employed by co-ops</w:t>
      </w:r>
      <w:r w:rsidR="00091372">
        <w:rPr>
          <w:rFonts w:ascii="Calibri" w:eastAsia="Times New Roman" w:hAnsi="Calibri" w:cs="Calibri"/>
          <w:color w:val="000000"/>
          <w:lang w:eastAsia="en-GB"/>
        </w:rPr>
        <w:t xml:space="preserve"> to farmers participating in an approved Mastitis Control Programme</w:t>
      </w:r>
      <w:r w:rsidR="00A522E4">
        <w:rPr>
          <w:rFonts w:ascii="Calibri" w:eastAsia="Times New Roman" w:hAnsi="Calibri" w:cs="Calibri"/>
          <w:color w:val="000000"/>
          <w:lang w:eastAsia="en-GB"/>
        </w:rPr>
        <w:t xml:space="preserve"> (MCP)</w:t>
      </w:r>
      <w:r w:rsidR="00091372">
        <w:rPr>
          <w:rFonts w:ascii="Calibri" w:eastAsia="Times New Roman" w:hAnsi="Calibri" w:cs="Calibri"/>
          <w:color w:val="000000"/>
          <w:lang w:eastAsia="en-GB"/>
        </w:rPr>
        <w:t>.</w:t>
      </w:r>
      <w:r w:rsidR="00A522E4" w:rsidRPr="00A522E4">
        <w:t xml:space="preserve"> </w:t>
      </w:r>
      <w:r w:rsidR="00A522E4">
        <w:t xml:space="preserve"> </w:t>
      </w:r>
    </w:p>
    <w:p w14:paraId="6B19DF7A" w14:textId="2905DFB3" w:rsidR="00A522E4" w:rsidRDefault="00047C03" w:rsidP="00A333C6">
      <w:pPr>
        <w:spacing w:after="120" w:line="240" w:lineRule="auto"/>
        <w:jc w:val="both"/>
      </w:pPr>
      <w:r>
        <w:t xml:space="preserve">Additionally, dairy farmers must comply with Regulation 853/2004 whereby his/her PVP certifies the overall herd health on an annual basis. </w:t>
      </w:r>
    </w:p>
    <w:p w14:paraId="4DF85F90" w14:textId="1720DFD0" w:rsidR="00A522E4" w:rsidRDefault="00A522E4" w:rsidP="00A333C6">
      <w:pPr>
        <w:spacing w:after="120" w:line="240" w:lineRule="auto"/>
        <w:jc w:val="both"/>
        <w:rPr>
          <w:rFonts w:ascii="Calibri" w:eastAsia="Times New Roman" w:hAnsi="Calibri" w:cs="Calibri"/>
          <w:color w:val="000000"/>
          <w:lang w:eastAsia="en-GB"/>
        </w:rPr>
      </w:pPr>
      <w:r>
        <w:t>This involve</w:t>
      </w:r>
      <w:r w:rsidR="00353E9E">
        <w:t>s a</w:t>
      </w:r>
      <w:r w:rsidR="005C0150">
        <w:t xml:space="preserve"> </w:t>
      </w:r>
      <w:r>
        <w:t xml:space="preserve">holistic approach to mastitis control incorporating co-op farm advisors, milking machine technicians, MCP co-op vets and co-op nutritionists, delivering a single message based on the AHI </w:t>
      </w:r>
      <w:proofErr w:type="spellStart"/>
      <w:r>
        <w:t>CellCheck</w:t>
      </w:r>
      <w:proofErr w:type="spellEnd"/>
      <w:r>
        <w:t xml:space="preserve"> Farmer Guidelines and MCP checklist.</w:t>
      </w:r>
      <w:r w:rsidR="006E6B5C">
        <w:t xml:space="preserve"> </w:t>
      </w:r>
    </w:p>
    <w:p w14:paraId="4EA6A77B" w14:textId="77777777" w:rsidR="00047C03" w:rsidRDefault="006F031A"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As all VMPs including anthelmintics appear to require a prescription after 2022, ICOS wants to clearly state that these VMPs should be available under the s</w:t>
      </w:r>
      <w:r w:rsidR="001D3855">
        <w:rPr>
          <w:rFonts w:ascii="Calibri" w:eastAsia="Times New Roman" w:hAnsi="Calibri" w:cs="Calibri"/>
          <w:color w:val="000000"/>
          <w:lang w:eastAsia="en-GB"/>
        </w:rPr>
        <w:t>imilar</w:t>
      </w:r>
      <w:r>
        <w:rPr>
          <w:rFonts w:ascii="Calibri" w:eastAsia="Times New Roman" w:hAnsi="Calibri" w:cs="Calibri"/>
          <w:color w:val="000000"/>
          <w:lang w:eastAsia="en-GB"/>
        </w:rPr>
        <w:t xml:space="preserve"> criteria outlined under Schedule 8.  </w:t>
      </w:r>
      <w:r w:rsidR="00353E9E">
        <w:rPr>
          <w:rFonts w:ascii="Calibri" w:eastAsia="Times New Roman" w:hAnsi="Calibri" w:cs="Calibri"/>
          <w:color w:val="000000"/>
          <w:lang w:eastAsia="en-GB"/>
        </w:rPr>
        <w:t>Co-ops through their diligent administration of MCP’s operate a</w:t>
      </w:r>
      <w:r w:rsidR="005C0150">
        <w:rPr>
          <w:rFonts w:ascii="Calibri" w:eastAsia="Times New Roman" w:hAnsi="Calibri" w:cs="Calibri"/>
          <w:color w:val="000000"/>
          <w:lang w:eastAsia="en-GB"/>
        </w:rPr>
        <w:t xml:space="preserve"> </w:t>
      </w:r>
      <w:r w:rsidR="00353E9E">
        <w:rPr>
          <w:rFonts w:ascii="Calibri" w:eastAsia="Times New Roman" w:hAnsi="Calibri" w:cs="Calibri"/>
          <w:color w:val="000000"/>
          <w:lang w:eastAsia="en-GB"/>
        </w:rPr>
        <w:t>holistic approach to herd health management</w:t>
      </w:r>
      <w:r w:rsidR="000959E3">
        <w:rPr>
          <w:rFonts w:ascii="Calibri" w:eastAsia="Times New Roman" w:hAnsi="Calibri" w:cs="Calibri"/>
          <w:color w:val="000000"/>
          <w:lang w:eastAsia="en-GB"/>
        </w:rPr>
        <w:t xml:space="preserve"> as outlined above</w:t>
      </w:r>
      <w:r w:rsidR="00353E9E">
        <w:rPr>
          <w:rFonts w:ascii="Calibri" w:eastAsia="Times New Roman" w:hAnsi="Calibri" w:cs="Calibri"/>
          <w:color w:val="000000"/>
          <w:lang w:eastAsia="en-GB"/>
        </w:rPr>
        <w:t xml:space="preserve">. </w:t>
      </w:r>
    </w:p>
    <w:p w14:paraId="1463BBD3" w14:textId="3955F937" w:rsidR="005C0150" w:rsidRDefault="00353E9E"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This will now become </w:t>
      </w:r>
      <w:r w:rsidR="00A333C6">
        <w:rPr>
          <w:rFonts w:ascii="Calibri" w:eastAsia="Times New Roman" w:hAnsi="Calibri" w:cs="Calibri"/>
          <w:color w:val="000000"/>
          <w:lang w:eastAsia="en-GB"/>
        </w:rPr>
        <w:t>an</w:t>
      </w:r>
      <w:r>
        <w:rPr>
          <w:rFonts w:ascii="Calibri" w:eastAsia="Times New Roman" w:hAnsi="Calibri" w:cs="Calibri"/>
          <w:color w:val="000000"/>
          <w:lang w:eastAsia="en-GB"/>
        </w:rPr>
        <w:t xml:space="preserve"> all-encompassing </w:t>
      </w:r>
      <w:r w:rsidR="00AA7C25">
        <w:rPr>
          <w:rFonts w:ascii="Calibri" w:eastAsia="Times New Roman" w:hAnsi="Calibri" w:cs="Calibri"/>
          <w:color w:val="000000"/>
          <w:lang w:eastAsia="en-GB"/>
        </w:rPr>
        <w:t xml:space="preserve">multi-faceted </w:t>
      </w:r>
      <w:r>
        <w:rPr>
          <w:rFonts w:ascii="Calibri" w:eastAsia="Times New Roman" w:hAnsi="Calibri" w:cs="Calibri"/>
          <w:color w:val="000000"/>
          <w:lang w:eastAsia="en-GB"/>
        </w:rPr>
        <w:t xml:space="preserve">herd health programme </w:t>
      </w:r>
      <w:r w:rsidR="00AA7C25">
        <w:rPr>
          <w:rFonts w:ascii="Calibri" w:eastAsia="Times New Roman" w:hAnsi="Calibri" w:cs="Calibri"/>
          <w:color w:val="000000"/>
          <w:lang w:eastAsia="en-GB"/>
        </w:rPr>
        <w:t>combining the MCP, a PCP (parasite control programme) and IDPP (Infectious diseases prevention plan)</w:t>
      </w:r>
      <w:r w:rsidR="00D22CA7">
        <w:rPr>
          <w:rFonts w:ascii="Calibri" w:eastAsia="Times New Roman" w:hAnsi="Calibri" w:cs="Calibri"/>
          <w:color w:val="000000"/>
          <w:lang w:eastAsia="en-GB"/>
        </w:rPr>
        <w:t xml:space="preserve"> </w:t>
      </w:r>
      <w:r w:rsidR="000959E3">
        <w:rPr>
          <w:rFonts w:ascii="Calibri" w:eastAsia="Times New Roman" w:hAnsi="Calibri" w:cs="Calibri"/>
          <w:color w:val="000000"/>
          <w:lang w:eastAsia="en-GB"/>
        </w:rPr>
        <w:t xml:space="preserve">supported </w:t>
      </w:r>
      <w:r>
        <w:rPr>
          <w:rFonts w:ascii="Calibri" w:eastAsia="Times New Roman" w:hAnsi="Calibri" w:cs="Calibri"/>
          <w:color w:val="000000"/>
          <w:lang w:eastAsia="en-GB"/>
        </w:rPr>
        <w:t xml:space="preserve">by data-based decision making (milk recording, </w:t>
      </w:r>
      <w:r w:rsidR="00E205A0">
        <w:rPr>
          <w:rFonts w:ascii="Calibri" w:eastAsia="Times New Roman" w:hAnsi="Calibri" w:cs="Calibri"/>
          <w:color w:val="000000"/>
          <w:lang w:eastAsia="en-GB"/>
        </w:rPr>
        <w:t xml:space="preserve">milk culturing &amp; sensitivity testing, </w:t>
      </w:r>
      <w:r>
        <w:rPr>
          <w:rFonts w:ascii="Calibri" w:eastAsia="Times New Roman" w:hAnsi="Calibri" w:cs="Calibri"/>
          <w:color w:val="000000"/>
          <w:lang w:eastAsia="en-GB"/>
        </w:rPr>
        <w:t>faecal egg count</w:t>
      </w:r>
      <w:r w:rsidR="000959E3">
        <w:rPr>
          <w:rFonts w:ascii="Calibri" w:eastAsia="Times New Roman" w:hAnsi="Calibri" w:cs="Calibri"/>
          <w:color w:val="000000"/>
          <w:lang w:eastAsia="en-GB"/>
        </w:rPr>
        <w:t xml:space="preserve"> results</w:t>
      </w:r>
      <w:r>
        <w:rPr>
          <w:rFonts w:ascii="Calibri" w:eastAsia="Times New Roman" w:hAnsi="Calibri" w:cs="Calibri"/>
          <w:color w:val="000000"/>
          <w:lang w:eastAsia="en-GB"/>
        </w:rPr>
        <w:t>, antibody detection tests</w:t>
      </w:r>
      <w:r w:rsidR="00333957">
        <w:rPr>
          <w:rFonts w:ascii="Calibri" w:eastAsia="Times New Roman" w:hAnsi="Calibri" w:cs="Calibri"/>
          <w:color w:val="000000"/>
          <w:lang w:eastAsia="en-GB"/>
        </w:rPr>
        <w:t xml:space="preserve"> </w:t>
      </w:r>
      <w:r w:rsidR="005C0150">
        <w:rPr>
          <w:rFonts w:ascii="Calibri" w:eastAsia="Times New Roman" w:hAnsi="Calibri" w:cs="Calibri"/>
          <w:color w:val="000000"/>
          <w:lang w:eastAsia="en-GB"/>
        </w:rPr>
        <w:t>as illustrated in figure 1.</w:t>
      </w:r>
      <w:r w:rsidR="00D22CA7">
        <w:rPr>
          <w:rFonts w:ascii="Calibri" w:eastAsia="Times New Roman" w:hAnsi="Calibri" w:cs="Calibri"/>
          <w:color w:val="000000"/>
          <w:lang w:eastAsia="en-GB"/>
        </w:rPr>
        <w:t xml:space="preserve"> Additionally incorporating VMP implementation strategies and herd management protocols such as grazing management, biosecurity SOP’s, milking parlour servicing/maintenance plans to control the various animal health concerns listed in the herd health programme. This herd health plan will not be limited to the three programmes listed, but also include national disease eradication and control programmes and other aspects of on-farm animal health management. </w:t>
      </w:r>
      <w:r w:rsidR="005C0150">
        <w:rPr>
          <w:rFonts w:ascii="Calibri" w:eastAsia="Times New Roman" w:hAnsi="Calibri" w:cs="Calibri"/>
          <w:color w:val="000000"/>
          <w:lang w:eastAsia="en-GB"/>
        </w:rPr>
        <w:t xml:space="preserve"> </w:t>
      </w:r>
    </w:p>
    <w:p w14:paraId="7B75125F" w14:textId="48C29EC0" w:rsidR="00724397" w:rsidRDefault="00091372" w:rsidP="00A333C6">
      <w:pPr>
        <w:spacing w:after="12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As demonstrated above, the dairy co-op sector has a vested interest in ensuring full compliance with the prescribing and use of these products in food producing animals. Indeed, any changes to this current route of supply could possibly be detrimental to Ireland’s €1</w:t>
      </w:r>
      <w:r w:rsidR="001D3855">
        <w:rPr>
          <w:rFonts w:ascii="Calibri" w:eastAsia="Times New Roman" w:hAnsi="Calibri" w:cs="Calibri"/>
          <w:color w:val="000000"/>
          <w:lang w:eastAsia="en-GB"/>
        </w:rPr>
        <w:t>4.5</w:t>
      </w:r>
      <w:r>
        <w:rPr>
          <w:rFonts w:ascii="Calibri" w:eastAsia="Times New Roman" w:hAnsi="Calibri" w:cs="Calibri"/>
          <w:color w:val="000000"/>
          <w:lang w:eastAsia="en-GB"/>
        </w:rPr>
        <w:t xml:space="preserve"> billon agri-food exports by undermining the integrity of the food supply chain. </w:t>
      </w:r>
    </w:p>
    <w:p w14:paraId="6D51140C" w14:textId="5A7B0A91" w:rsidR="005C0150" w:rsidRDefault="005C0150" w:rsidP="00A333C6">
      <w:pPr>
        <w:spacing w:after="120" w:line="240" w:lineRule="auto"/>
        <w:jc w:val="both"/>
        <w:rPr>
          <w:rFonts w:ascii="Calibri" w:eastAsia="Times New Roman" w:hAnsi="Calibri" w:cs="Calibri"/>
          <w:color w:val="000000"/>
          <w:lang w:eastAsia="en-GB"/>
        </w:rPr>
      </w:pPr>
    </w:p>
    <w:p w14:paraId="219FFFBB" w14:textId="35F750EC" w:rsidR="005C0150" w:rsidRPr="005C0150" w:rsidRDefault="005C0150" w:rsidP="00A333C6">
      <w:pPr>
        <w:spacing w:after="120" w:line="240" w:lineRule="auto"/>
        <w:jc w:val="both"/>
        <w:rPr>
          <w:rFonts w:ascii="Calibri" w:eastAsia="Times New Roman" w:hAnsi="Calibri" w:cs="Calibri"/>
          <w:b/>
          <w:bCs/>
          <w:color w:val="000000"/>
          <w:lang w:eastAsia="en-GB"/>
        </w:rPr>
      </w:pPr>
      <w:r w:rsidRPr="005C0150">
        <w:rPr>
          <w:rFonts w:ascii="Calibri" w:eastAsia="Times New Roman" w:hAnsi="Calibri" w:cs="Calibri"/>
          <w:b/>
          <w:bCs/>
          <w:color w:val="000000"/>
          <w:lang w:eastAsia="en-GB"/>
        </w:rPr>
        <w:t>Figure 1: Outline of a sustainable and responsible prescribing model proposed by ICOS</w:t>
      </w:r>
    </w:p>
    <w:p w14:paraId="52A4F690" w14:textId="2F8F8DB8" w:rsidR="005C0150" w:rsidRDefault="005C0150" w:rsidP="00A333C6">
      <w:pPr>
        <w:spacing w:after="120" w:line="240" w:lineRule="auto"/>
        <w:jc w:val="both"/>
        <w:rPr>
          <w:rFonts w:ascii="Calibri" w:eastAsia="Times New Roman" w:hAnsi="Calibri" w:cs="Calibri"/>
          <w:color w:val="000000"/>
          <w:lang w:eastAsia="en-GB"/>
        </w:rPr>
      </w:pPr>
    </w:p>
    <w:p w14:paraId="4D8F7D5C" w14:textId="77777777" w:rsidR="005C0150" w:rsidRDefault="005C0150" w:rsidP="00A333C6">
      <w:pPr>
        <w:spacing w:after="120" w:line="240" w:lineRule="auto"/>
        <w:jc w:val="both"/>
        <w:rPr>
          <w:rFonts w:ascii="Calibri" w:eastAsia="Times New Roman" w:hAnsi="Calibri" w:cs="Calibri"/>
          <w:color w:val="000000"/>
          <w:lang w:eastAsia="en-GB"/>
        </w:rPr>
      </w:pPr>
    </w:p>
    <w:p w14:paraId="44F7B082" w14:textId="77777777" w:rsidR="00047C03" w:rsidRDefault="00047C03" w:rsidP="00A333C6">
      <w:pPr>
        <w:spacing w:after="120" w:line="240" w:lineRule="auto"/>
        <w:jc w:val="both"/>
        <w:rPr>
          <w:rFonts w:ascii="Calibri" w:eastAsia="Times New Roman" w:hAnsi="Calibri" w:cs="Calibri"/>
          <w:b/>
          <w:bCs/>
          <w:color w:val="000000"/>
          <w:lang w:eastAsia="en-GB"/>
        </w:rPr>
      </w:pPr>
    </w:p>
    <w:p w14:paraId="132C2D80" w14:textId="77777777" w:rsidR="00047C03" w:rsidRDefault="00047C03" w:rsidP="00A333C6">
      <w:pPr>
        <w:spacing w:after="120" w:line="240" w:lineRule="auto"/>
        <w:jc w:val="both"/>
        <w:rPr>
          <w:rFonts w:ascii="Calibri" w:eastAsia="Times New Roman" w:hAnsi="Calibri" w:cs="Calibri"/>
          <w:b/>
          <w:bCs/>
          <w:color w:val="000000"/>
          <w:lang w:eastAsia="en-GB"/>
        </w:rPr>
      </w:pPr>
    </w:p>
    <w:p w14:paraId="71AA7CBF" w14:textId="7574693B" w:rsidR="00047C03" w:rsidRDefault="00047C03" w:rsidP="00A333C6">
      <w:pPr>
        <w:spacing w:after="120" w:line="240" w:lineRule="auto"/>
        <w:jc w:val="both"/>
        <w:rPr>
          <w:rFonts w:ascii="Calibri" w:eastAsia="Times New Roman" w:hAnsi="Calibri" w:cs="Calibri"/>
          <w:b/>
          <w:bCs/>
          <w:color w:val="000000"/>
          <w:lang w:eastAsia="en-GB"/>
        </w:rPr>
      </w:pPr>
      <w:r>
        <w:rPr>
          <w:noProof/>
        </w:rPr>
        <w:drawing>
          <wp:inline distT="0" distB="0" distL="0" distR="0" wp14:anchorId="0DF5EDE1" wp14:editId="2EB38484">
            <wp:extent cx="472440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24400" cy="4162425"/>
                    </a:xfrm>
                    <a:prstGeom prst="rect">
                      <a:avLst/>
                    </a:prstGeom>
                  </pic:spPr>
                </pic:pic>
              </a:graphicData>
            </a:graphic>
          </wp:inline>
        </w:drawing>
      </w:r>
    </w:p>
    <w:p w14:paraId="4321C132" w14:textId="77777777" w:rsidR="00047C03" w:rsidRDefault="00047C03" w:rsidP="00A333C6">
      <w:pPr>
        <w:spacing w:after="120" w:line="240" w:lineRule="auto"/>
        <w:jc w:val="both"/>
        <w:rPr>
          <w:rFonts w:ascii="Calibri" w:eastAsia="Times New Roman" w:hAnsi="Calibri" w:cs="Calibri"/>
          <w:b/>
          <w:bCs/>
          <w:color w:val="000000"/>
          <w:lang w:eastAsia="en-GB"/>
        </w:rPr>
      </w:pPr>
    </w:p>
    <w:p w14:paraId="14C6ACD3" w14:textId="3246949D" w:rsidR="00047C03" w:rsidRDefault="00047C03" w:rsidP="00A333C6">
      <w:pPr>
        <w:spacing w:after="120" w:line="240" w:lineRule="auto"/>
        <w:jc w:val="both"/>
        <w:rPr>
          <w:rFonts w:ascii="Calibri" w:eastAsia="Times New Roman" w:hAnsi="Calibri" w:cs="Calibri"/>
          <w:b/>
          <w:bCs/>
          <w:color w:val="000000"/>
          <w:lang w:eastAsia="en-GB"/>
        </w:rPr>
      </w:pPr>
    </w:p>
    <w:p w14:paraId="58C01883" w14:textId="77777777" w:rsidR="00A333C6" w:rsidRDefault="00A333C6" w:rsidP="00A333C6">
      <w:pPr>
        <w:spacing w:after="120" w:line="240" w:lineRule="auto"/>
        <w:jc w:val="both"/>
        <w:rPr>
          <w:rFonts w:ascii="Calibri" w:eastAsia="Times New Roman" w:hAnsi="Calibri" w:cs="Calibri"/>
          <w:b/>
          <w:bCs/>
          <w:color w:val="000000"/>
          <w:lang w:eastAsia="en-GB"/>
        </w:rPr>
      </w:pPr>
    </w:p>
    <w:p w14:paraId="7A694CEB" w14:textId="740314E6" w:rsidR="00C24DDC" w:rsidRPr="00C24DDC" w:rsidRDefault="00C24DDC" w:rsidP="00A333C6">
      <w:pPr>
        <w:spacing w:after="120" w:line="240" w:lineRule="auto"/>
        <w:jc w:val="both"/>
        <w:rPr>
          <w:rFonts w:ascii="Calibri" w:eastAsia="Times New Roman" w:hAnsi="Calibri" w:cs="Calibri"/>
          <w:b/>
          <w:bCs/>
          <w:color w:val="000000"/>
          <w:lang w:eastAsia="en-GB"/>
        </w:rPr>
      </w:pPr>
      <w:r w:rsidRPr="00C24DDC">
        <w:rPr>
          <w:rFonts w:ascii="Calibri" w:eastAsia="Times New Roman" w:hAnsi="Calibri" w:cs="Calibri"/>
          <w:b/>
          <w:bCs/>
          <w:color w:val="000000"/>
          <w:lang w:eastAsia="en-GB"/>
        </w:rPr>
        <w:lastRenderedPageBreak/>
        <w:t xml:space="preserve">Article 107 – Use of antimicrobial medicinal products </w:t>
      </w:r>
    </w:p>
    <w:p w14:paraId="7551B369" w14:textId="26C1FAFC" w:rsidR="00C24DDC" w:rsidRDefault="00C24DDC" w:rsidP="00A333C6">
      <w:pPr>
        <w:spacing w:after="120" w:line="240" w:lineRule="auto"/>
        <w:jc w:val="both"/>
        <w:rPr>
          <w:rFonts w:eastAsia="Times New Roman"/>
          <w:lang w:val="en-IE"/>
        </w:rPr>
      </w:pPr>
      <w:r>
        <w:rPr>
          <w:rFonts w:ascii="Calibri" w:eastAsia="Times New Roman" w:hAnsi="Calibri" w:cs="Calibri"/>
          <w:color w:val="000000"/>
          <w:lang w:eastAsia="en-GB"/>
        </w:rPr>
        <w:t xml:space="preserve">Article 107 stipulates that </w:t>
      </w:r>
      <w:r w:rsidR="00966929">
        <w:rPr>
          <w:rFonts w:ascii="Calibri" w:eastAsia="Times New Roman" w:hAnsi="Calibri" w:cs="Calibri"/>
          <w:color w:val="000000"/>
          <w:lang w:eastAsia="en-GB"/>
        </w:rPr>
        <w:t>a</w:t>
      </w:r>
      <w:r w:rsidR="00966929">
        <w:rPr>
          <w:rFonts w:eastAsia="Times New Roman"/>
          <w:lang w:val="en-IE"/>
        </w:rPr>
        <w:t>ntibiotics</w:t>
      </w:r>
      <w:r>
        <w:rPr>
          <w:rFonts w:eastAsia="Times New Roman"/>
          <w:lang w:val="en-IE"/>
        </w:rPr>
        <w:t xml:space="preserve"> must not be used for prophylaxis (preventive treatment to a healthy animal) except in very exceptional circumstances. </w:t>
      </w:r>
      <w:r w:rsidR="00966929">
        <w:rPr>
          <w:rFonts w:eastAsia="Times New Roman"/>
          <w:lang w:val="en-IE"/>
        </w:rPr>
        <w:t xml:space="preserve">Article 107 </w:t>
      </w:r>
      <w:r>
        <w:rPr>
          <w:rFonts w:eastAsia="Times New Roman"/>
          <w:lang w:val="en-IE"/>
        </w:rPr>
        <w:t>further states that antibiotics must not be used for metaphylaxis, (treatment of healthy cohort animals) except when the risk of spread of an infection or of an infectious disease in the group of animals is high and no other appropriate alternatives are available.</w:t>
      </w:r>
    </w:p>
    <w:p w14:paraId="4ACB8987" w14:textId="3886B340" w:rsidR="00C24DDC" w:rsidRDefault="00C24DDC" w:rsidP="00A333C6">
      <w:pPr>
        <w:spacing w:after="120" w:line="240" w:lineRule="auto"/>
        <w:jc w:val="both"/>
        <w:rPr>
          <w:rFonts w:eastAsia="Times New Roman"/>
          <w:lang w:val="en-IE"/>
        </w:rPr>
      </w:pPr>
      <w:r>
        <w:rPr>
          <w:rFonts w:eastAsia="Times New Roman"/>
          <w:lang w:val="en-IE"/>
        </w:rPr>
        <w:t>Th</w:t>
      </w:r>
      <w:r w:rsidR="001D3855">
        <w:rPr>
          <w:rFonts w:eastAsia="Times New Roman"/>
          <w:lang w:val="en-IE"/>
        </w:rPr>
        <w:t>is</w:t>
      </w:r>
      <w:r>
        <w:rPr>
          <w:rFonts w:eastAsia="Times New Roman"/>
          <w:lang w:val="en-IE"/>
        </w:rPr>
        <w:t xml:space="preserve"> stipulation that antibiotics must not be used for prophylaxis (preventive treatment to a healthy animal) except in very exceptional circumstances will have significant consequences for the existing practice of drying off lactating dairy animals in Ireland. </w:t>
      </w:r>
      <w:r w:rsidR="00FC4874">
        <w:rPr>
          <w:rFonts w:eastAsia="Times New Roman"/>
          <w:lang w:val="en-IE"/>
        </w:rPr>
        <w:t>The</w:t>
      </w:r>
      <w:r w:rsidR="00A333C6">
        <w:rPr>
          <w:rFonts w:eastAsia="Times New Roman"/>
          <w:lang w:val="en-IE"/>
        </w:rPr>
        <w:t xml:space="preserve"> p</w:t>
      </w:r>
      <w:r w:rsidR="00FC4874">
        <w:rPr>
          <w:rFonts w:eastAsia="Times New Roman"/>
          <w:lang w:val="en-IE"/>
        </w:rPr>
        <w:t xml:space="preserve">ractice promoted and followed by </w:t>
      </w:r>
      <w:r w:rsidR="001D3855">
        <w:rPr>
          <w:rFonts w:eastAsia="Times New Roman"/>
          <w:lang w:val="en-IE"/>
        </w:rPr>
        <w:t xml:space="preserve">Irish </w:t>
      </w:r>
      <w:r w:rsidR="00FC4874">
        <w:rPr>
          <w:rFonts w:eastAsia="Times New Roman"/>
          <w:lang w:val="en-IE"/>
        </w:rPr>
        <w:t>dairy farmers over many years has been to treat their animals with an</w:t>
      </w:r>
      <w:r w:rsidR="001D3855">
        <w:rPr>
          <w:rFonts w:eastAsia="Times New Roman"/>
          <w:lang w:val="en-IE"/>
        </w:rPr>
        <w:t xml:space="preserve"> antimicrobial intramammary</w:t>
      </w:r>
      <w:r w:rsidR="00FC4874">
        <w:rPr>
          <w:rFonts w:eastAsia="Times New Roman"/>
          <w:lang w:val="en-IE"/>
        </w:rPr>
        <w:t xml:space="preserve"> tube before drying off. Irish dairy farmers have now been advised</w:t>
      </w:r>
      <w:r w:rsidR="001D3855">
        <w:rPr>
          <w:rFonts w:eastAsia="Times New Roman"/>
          <w:lang w:val="en-IE"/>
        </w:rPr>
        <w:t xml:space="preserve"> and encouraged</w:t>
      </w:r>
      <w:r w:rsidR="00FC4874">
        <w:rPr>
          <w:rFonts w:eastAsia="Times New Roman"/>
          <w:lang w:val="en-IE"/>
        </w:rPr>
        <w:t xml:space="preserve"> through Animal Health Ireland, Teagasc and dairy co-op milk advisory teams to adopt Selective Dry Cow Therapy (SDCT) in view of AMR concerns. However, transitioning from the traditional approach of Blanket Dry Cow Therapy (BDCT) to SDCT will take time, education and significant financial resources, if the timeframe of January 2022 is to be achieved. </w:t>
      </w:r>
    </w:p>
    <w:p w14:paraId="7376EDE9" w14:textId="072913A1" w:rsidR="00FC4874" w:rsidRDefault="005C0150" w:rsidP="00A333C6">
      <w:pPr>
        <w:spacing w:after="120" w:line="240" w:lineRule="auto"/>
        <w:jc w:val="both"/>
        <w:rPr>
          <w:rFonts w:eastAsia="Times New Roman"/>
          <w:lang w:val="en-IE"/>
        </w:rPr>
      </w:pPr>
      <w:r>
        <w:rPr>
          <w:rFonts w:eastAsia="Times New Roman"/>
          <w:lang w:val="en-IE"/>
        </w:rPr>
        <w:t>It is estimated that a</w:t>
      </w:r>
      <w:r w:rsidR="00FC4874">
        <w:rPr>
          <w:rFonts w:eastAsia="Times New Roman"/>
          <w:lang w:val="en-IE"/>
        </w:rPr>
        <w:t xml:space="preserve">pproximately 40% of dairy herds, representing 50% of the total dairy cow numbers are milk recorded.  SDCT cannot be effectively implemented at farm level in the absence of milk recording data. It is estimated by the milk recording organisations, that an investment of </w:t>
      </w:r>
      <w:r w:rsidR="00E01E70">
        <w:rPr>
          <w:rFonts w:eastAsia="Times New Roman"/>
          <w:lang w:val="en-IE"/>
        </w:rPr>
        <w:t xml:space="preserve">circa </w:t>
      </w:r>
      <w:r w:rsidR="00FC4874">
        <w:rPr>
          <w:rFonts w:eastAsia="Times New Roman"/>
          <w:lang w:val="en-IE"/>
        </w:rPr>
        <w:t xml:space="preserve">€10 million will be required over the next two years to adequately scale up </w:t>
      </w:r>
      <w:r w:rsidR="0055717B">
        <w:rPr>
          <w:rFonts w:eastAsia="Times New Roman"/>
          <w:lang w:val="en-IE"/>
        </w:rPr>
        <w:t xml:space="preserve">the </w:t>
      </w:r>
      <w:r w:rsidR="00E01E70">
        <w:rPr>
          <w:rFonts w:eastAsia="Times New Roman"/>
          <w:lang w:val="en-IE"/>
        </w:rPr>
        <w:t xml:space="preserve">milk recording </w:t>
      </w:r>
      <w:r w:rsidR="0055717B">
        <w:rPr>
          <w:rFonts w:eastAsia="Times New Roman"/>
          <w:lang w:val="en-IE"/>
        </w:rPr>
        <w:t xml:space="preserve">capability to a situation whereby the national dairy herd can be milk recorded. There is significant investment needed to achieve this in such a short timeframe. </w:t>
      </w:r>
    </w:p>
    <w:p w14:paraId="026610A3" w14:textId="46B02B21" w:rsidR="002B6E85" w:rsidRPr="002B6E85" w:rsidRDefault="002B6E85" w:rsidP="00A333C6">
      <w:pPr>
        <w:spacing w:after="120" w:line="240" w:lineRule="auto"/>
        <w:jc w:val="both"/>
        <w:rPr>
          <w:rFonts w:cstheme="minorHAnsi"/>
        </w:rPr>
      </w:pPr>
      <w:r>
        <w:rPr>
          <w:rFonts w:cstheme="minorHAnsi"/>
        </w:rPr>
        <w:t xml:space="preserve">ICOS and our members </w:t>
      </w:r>
      <w:r w:rsidRPr="002B6E85">
        <w:rPr>
          <w:rFonts w:cstheme="minorHAnsi"/>
        </w:rPr>
        <w:t xml:space="preserve">believe that the widespread use of milk recording across the national dairy herd will </w:t>
      </w:r>
      <w:r w:rsidR="005C0150">
        <w:rPr>
          <w:rFonts w:cstheme="minorHAnsi"/>
        </w:rPr>
        <w:t xml:space="preserve">be extremely positive and will </w:t>
      </w:r>
      <w:r w:rsidRPr="002B6E85">
        <w:rPr>
          <w:rFonts w:cstheme="minorHAnsi"/>
        </w:rPr>
        <w:t xml:space="preserve">complement </w:t>
      </w:r>
      <w:r>
        <w:rPr>
          <w:rFonts w:cstheme="minorHAnsi"/>
        </w:rPr>
        <w:t xml:space="preserve">a range of </w:t>
      </w:r>
      <w:r w:rsidRPr="002B6E85">
        <w:rPr>
          <w:rFonts w:cstheme="minorHAnsi"/>
        </w:rPr>
        <w:t>national objectives</w:t>
      </w:r>
      <w:r>
        <w:rPr>
          <w:rFonts w:cstheme="minorHAnsi"/>
        </w:rPr>
        <w:t xml:space="preserve"> in the area of AMR, climate change, animal health and welfare (e.g. </w:t>
      </w:r>
      <w:r>
        <w:rPr>
          <w:rFonts w:cstheme="minorHAnsi"/>
          <w:lang w:val="en-US"/>
        </w:rPr>
        <w:t>e</w:t>
      </w:r>
      <w:r w:rsidRPr="002B6E85">
        <w:rPr>
          <w:rFonts w:cstheme="minorHAnsi"/>
          <w:lang w:val="en-US"/>
        </w:rPr>
        <w:t xml:space="preserve">ncouraging participation in the Irish </w:t>
      </w:r>
      <w:proofErr w:type="spellStart"/>
      <w:r w:rsidRPr="002B6E85">
        <w:rPr>
          <w:rFonts w:cstheme="minorHAnsi"/>
          <w:lang w:val="en-US"/>
        </w:rPr>
        <w:t>Johne’s</w:t>
      </w:r>
      <w:proofErr w:type="spellEnd"/>
      <w:r w:rsidRPr="002B6E85">
        <w:rPr>
          <w:rFonts w:cstheme="minorHAnsi"/>
          <w:lang w:val="en-US"/>
        </w:rPr>
        <w:t xml:space="preserve"> Control </w:t>
      </w:r>
      <w:proofErr w:type="spellStart"/>
      <w:r w:rsidRPr="002B6E85">
        <w:rPr>
          <w:rFonts w:cstheme="minorHAnsi"/>
          <w:lang w:val="en-US"/>
        </w:rPr>
        <w:t>Programme</w:t>
      </w:r>
      <w:proofErr w:type="spellEnd"/>
      <w:r>
        <w:rPr>
          <w:rFonts w:cstheme="minorHAnsi"/>
          <w:lang w:val="en-US"/>
        </w:rPr>
        <w:t xml:space="preserve">) as well as </w:t>
      </w:r>
      <w:r w:rsidR="009B51B1" w:rsidRPr="002B6E85">
        <w:rPr>
          <w:rFonts w:cstheme="minorHAnsi"/>
          <w:lang w:val="en-US"/>
        </w:rPr>
        <w:t>s</w:t>
      </w:r>
      <w:r w:rsidR="009B51B1">
        <w:rPr>
          <w:rFonts w:cstheme="minorHAnsi"/>
          <w:lang w:val="en-US"/>
        </w:rPr>
        <w:t>upporting</w:t>
      </w:r>
      <w:r w:rsidRPr="002B6E85">
        <w:rPr>
          <w:rFonts w:cstheme="minorHAnsi"/>
          <w:lang w:val="en-US"/>
        </w:rPr>
        <w:t xml:space="preserve"> farm </w:t>
      </w:r>
      <w:r w:rsidR="009B51B1">
        <w:rPr>
          <w:rFonts w:cstheme="minorHAnsi"/>
          <w:lang w:val="en-US"/>
        </w:rPr>
        <w:t xml:space="preserve">income. </w:t>
      </w:r>
    </w:p>
    <w:p w14:paraId="71F379E6" w14:textId="77777777" w:rsidR="00391D14" w:rsidRDefault="002B6E85" w:rsidP="00A333C6">
      <w:pPr>
        <w:spacing w:after="120" w:line="240" w:lineRule="auto"/>
        <w:jc w:val="both"/>
        <w:rPr>
          <w:rFonts w:eastAsia="Times New Roman"/>
          <w:lang w:val="en-IE"/>
        </w:rPr>
      </w:pPr>
      <w:r>
        <w:rPr>
          <w:rFonts w:eastAsia="Times New Roman"/>
          <w:lang w:val="en-IE"/>
        </w:rPr>
        <w:t>For example, the objective to increase milk recording</w:t>
      </w:r>
      <w:r w:rsidR="00991490">
        <w:rPr>
          <w:rFonts w:eastAsia="Times New Roman"/>
          <w:lang w:val="en-IE"/>
        </w:rPr>
        <w:t xml:space="preserve"> to 75% of the national dairy herd by 2025</w:t>
      </w:r>
      <w:r>
        <w:rPr>
          <w:rFonts w:eastAsia="Times New Roman"/>
          <w:lang w:val="en-IE"/>
        </w:rPr>
        <w:t xml:space="preserve"> is a specific action identified in the ‘Ag </w:t>
      </w:r>
      <w:proofErr w:type="spellStart"/>
      <w:r>
        <w:rPr>
          <w:rFonts w:eastAsia="Times New Roman"/>
          <w:lang w:val="en-IE"/>
        </w:rPr>
        <w:t>Climatise</w:t>
      </w:r>
      <w:proofErr w:type="spellEnd"/>
      <w:r>
        <w:rPr>
          <w:rFonts w:eastAsia="Times New Roman"/>
          <w:lang w:val="en-IE"/>
        </w:rPr>
        <w:t xml:space="preserve">’ National Climate and Air Roadmap for the Agriculture Sector to 2030 and beyond published by DAFM in November 2019.  </w:t>
      </w:r>
    </w:p>
    <w:p w14:paraId="2098F75D" w14:textId="0E83D0F2" w:rsidR="002B6E85" w:rsidRDefault="002B6E85" w:rsidP="00A333C6">
      <w:pPr>
        <w:spacing w:after="120" w:line="240" w:lineRule="auto"/>
        <w:jc w:val="both"/>
        <w:rPr>
          <w:rFonts w:eastAsia="Times New Roman"/>
          <w:lang w:val="en-IE"/>
        </w:rPr>
      </w:pPr>
      <w:r>
        <w:rPr>
          <w:rFonts w:eastAsia="Times New Roman"/>
          <w:lang w:val="en-IE"/>
        </w:rPr>
        <w:t xml:space="preserve">The purpose of the ‘Ag </w:t>
      </w:r>
      <w:proofErr w:type="spellStart"/>
      <w:r>
        <w:rPr>
          <w:rFonts w:eastAsia="Times New Roman"/>
          <w:lang w:val="en-IE"/>
        </w:rPr>
        <w:t>Climatise</w:t>
      </w:r>
      <w:proofErr w:type="spellEnd"/>
      <w:r>
        <w:rPr>
          <w:rFonts w:eastAsia="Times New Roman"/>
          <w:lang w:val="en-IE"/>
        </w:rPr>
        <w:t xml:space="preserve">’ Roadmap is to implement the Teagasc Marginal Abatement Cost Curve, and </w:t>
      </w:r>
      <w:r w:rsidR="00A529DF">
        <w:rPr>
          <w:rFonts w:eastAsia="Times New Roman"/>
          <w:lang w:val="en-IE"/>
        </w:rPr>
        <w:t>its r</w:t>
      </w:r>
      <w:r w:rsidR="00AF490A">
        <w:rPr>
          <w:rFonts w:eastAsia="Times New Roman"/>
          <w:lang w:val="en-IE"/>
        </w:rPr>
        <w:t xml:space="preserve">ollout is </w:t>
      </w:r>
      <w:r>
        <w:rPr>
          <w:rFonts w:eastAsia="Times New Roman"/>
          <w:lang w:val="en-IE"/>
        </w:rPr>
        <w:t xml:space="preserve">of strategic importance to the agriculture sector and the Irish economy as a whole. The ICOS recommendations contained in this paper encourages DAFM to ensure our national objectives in the area of AMR, animal health &amp; welfare and the environment are fully aligned. </w:t>
      </w:r>
    </w:p>
    <w:p w14:paraId="2404C572" w14:textId="623C6AEB" w:rsidR="0055717B" w:rsidRDefault="000959E3" w:rsidP="00A333C6">
      <w:pPr>
        <w:spacing w:after="120" w:line="240" w:lineRule="auto"/>
        <w:jc w:val="both"/>
        <w:rPr>
          <w:rFonts w:eastAsia="Times New Roman"/>
          <w:lang w:val="en-IE"/>
        </w:rPr>
      </w:pPr>
      <w:r>
        <w:rPr>
          <w:rFonts w:eastAsia="Times New Roman"/>
          <w:lang w:val="en-IE"/>
        </w:rPr>
        <w:t>I</w:t>
      </w:r>
      <w:r w:rsidR="0055717B">
        <w:rPr>
          <w:rFonts w:eastAsia="Times New Roman"/>
          <w:lang w:val="en-IE"/>
        </w:rPr>
        <w:t xml:space="preserve">n recent years, collectively ICOS members through their on-farm milk advisory </w:t>
      </w:r>
      <w:r w:rsidR="00E01E70">
        <w:rPr>
          <w:rFonts w:eastAsia="Times New Roman"/>
          <w:lang w:val="en-IE"/>
        </w:rPr>
        <w:t>teams</w:t>
      </w:r>
      <w:r w:rsidR="0055717B">
        <w:rPr>
          <w:rFonts w:eastAsia="Times New Roman"/>
          <w:lang w:val="en-IE"/>
        </w:rPr>
        <w:t xml:space="preserve"> in conjunction with the AHI </w:t>
      </w:r>
      <w:proofErr w:type="spellStart"/>
      <w:r w:rsidR="0055717B">
        <w:rPr>
          <w:rFonts w:eastAsia="Times New Roman"/>
          <w:lang w:val="en-IE"/>
        </w:rPr>
        <w:t>CellCheck</w:t>
      </w:r>
      <w:proofErr w:type="spellEnd"/>
      <w:r w:rsidR="0055717B">
        <w:rPr>
          <w:rFonts w:eastAsia="Times New Roman"/>
          <w:lang w:val="en-IE"/>
        </w:rPr>
        <w:t xml:space="preserve"> Programme has delivered year on year reductions in Somatic Cell Count</w:t>
      </w:r>
      <w:r w:rsidR="00E01E70">
        <w:rPr>
          <w:rFonts w:eastAsia="Times New Roman"/>
          <w:lang w:val="en-IE"/>
        </w:rPr>
        <w:t xml:space="preserve"> (SCC)</w:t>
      </w:r>
      <w:r w:rsidR="0055717B">
        <w:rPr>
          <w:rFonts w:eastAsia="Times New Roman"/>
          <w:lang w:val="en-IE"/>
        </w:rPr>
        <w:t xml:space="preserve"> across the national herd</w:t>
      </w:r>
      <w:r w:rsidR="00E01E70">
        <w:rPr>
          <w:rFonts w:eastAsia="Times New Roman"/>
          <w:lang w:val="en-IE"/>
        </w:rPr>
        <w:t xml:space="preserve">. The national SCC average is 183k in 2018, noticeably down from an national average SCC of 272k in 2009. </w:t>
      </w:r>
    </w:p>
    <w:p w14:paraId="0440F29C" w14:textId="2A5DB9B1" w:rsidR="0055717B" w:rsidRDefault="0055717B" w:rsidP="00A333C6">
      <w:pPr>
        <w:spacing w:after="120" w:line="240" w:lineRule="auto"/>
        <w:jc w:val="both"/>
        <w:rPr>
          <w:rFonts w:eastAsia="Times New Roman"/>
          <w:lang w:val="en-IE"/>
        </w:rPr>
      </w:pPr>
      <w:r>
        <w:rPr>
          <w:rFonts w:eastAsia="Times New Roman"/>
          <w:lang w:val="en-IE"/>
        </w:rPr>
        <w:t>Many of the co-ops through the</w:t>
      </w:r>
      <w:r w:rsidR="001D3855">
        <w:rPr>
          <w:rFonts w:eastAsia="Times New Roman"/>
          <w:lang w:val="en-IE"/>
        </w:rPr>
        <w:t>ir</w:t>
      </w:r>
      <w:r>
        <w:rPr>
          <w:rFonts w:eastAsia="Times New Roman"/>
          <w:lang w:val="en-IE"/>
        </w:rPr>
        <w:t xml:space="preserve"> administration of Schedule 8 have documented evidence of significant reductions in the sale of </w:t>
      </w:r>
      <w:r w:rsidR="001D3855">
        <w:rPr>
          <w:rFonts w:eastAsia="Times New Roman"/>
          <w:lang w:val="en-IE"/>
        </w:rPr>
        <w:t xml:space="preserve">antimicrobial </w:t>
      </w:r>
      <w:r>
        <w:rPr>
          <w:rFonts w:eastAsia="Times New Roman"/>
          <w:lang w:val="en-IE"/>
        </w:rPr>
        <w:t xml:space="preserve">intramammary tubes.  There is a substantial risk of derailing and reversing these positive trends by making rash changes to the current method of prescription and distribution. </w:t>
      </w:r>
    </w:p>
    <w:p w14:paraId="68A978F7" w14:textId="77777777" w:rsidR="00A333C6" w:rsidRDefault="00A333C6" w:rsidP="00A333C6">
      <w:pPr>
        <w:spacing w:after="120" w:line="240" w:lineRule="auto"/>
        <w:jc w:val="both"/>
        <w:rPr>
          <w:rFonts w:eastAsia="Times New Roman"/>
          <w:lang w:val="en-IE"/>
        </w:rPr>
      </w:pPr>
    </w:p>
    <w:p w14:paraId="51D9A06F" w14:textId="4C119166" w:rsidR="00821090" w:rsidRDefault="00821090" w:rsidP="00A333C6">
      <w:pPr>
        <w:spacing w:after="120" w:line="240" w:lineRule="auto"/>
        <w:jc w:val="both"/>
        <w:rPr>
          <w:rFonts w:eastAsia="Times New Roman"/>
          <w:b/>
          <w:bCs/>
          <w:lang w:val="en-IE"/>
        </w:rPr>
      </w:pPr>
      <w:r w:rsidRPr="00821090">
        <w:rPr>
          <w:rFonts w:eastAsia="Times New Roman"/>
          <w:b/>
          <w:bCs/>
          <w:lang w:val="en-IE"/>
        </w:rPr>
        <w:t xml:space="preserve">Article 123 </w:t>
      </w:r>
      <w:r>
        <w:rPr>
          <w:rFonts w:eastAsia="Times New Roman"/>
          <w:b/>
          <w:bCs/>
          <w:lang w:val="en-IE"/>
        </w:rPr>
        <w:t>–</w:t>
      </w:r>
      <w:r w:rsidRPr="00821090">
        <w:rPr>
          <w:rFonts w:eastAsia="Times New Roman"/>
          <w:b/>
          <w:bCs/>
          <w:lang w:val="en-IE"/>
        </w:rPr>
        <w:t xml:space="preserve"> Controls</w:t>
      </w:r>
    </w:p>
    <w:p w14:paraId="049274C7" w14:textId="60F7A8C2" w:rsidR="00821090" w:rsidRDefault="00821090" w:rsidP="00A333C6">
      <w:pPr>
        <w:spacing w:after="120" w:line="240" w:lineRule="auto"/>
        <w:jc w:val="both"/>
        <w:rPr>
          <w:rFonts w:eastAsia="Times New Roman"/>
          <w:lang w:val="en-IE"/>
        </w:rPr>
      </w:pPr>
      <w:r w:rsidRPr="00821090">
        <w:rPr>
          <w:rFonts w:eastAsia="Times New Roman"/>
          <w:lang w:val="en-IE"/>
        </w:rPr>
        <w:t xml:space="preserve">ICOS would like to draw DAFM’s attention </w:t>
      </w:r>
      <w:r>
        <w:rPr>
          <w:rFonts w:eastAsia="Times New Roman"/>
          <w:lang w:val="en-IE"/>
        </w:rPr>
        <w:t>to the fact that on the Island of Ireland we currently have two different models of prescribing VMP’s under EU law. After 2022, this issue may be exacerbated by the decision of the UK to exit the European Union and increased surveillance may be needed to protect the integrity of the Single Market.</w:t>
      </w:r>
    </w:p>
    <w:p w14:paraId="181206FA" w14:textId="184EB4FA" w:rsidR="00821090" w:rsidRDefault="00821090" w:rsidP="00A333C6">
      <w:pPr>
        <w:spacing w:after="120" w:line="240" w:lineRule="auto"/>
        <w:jc w:val="both"/>
        <w:rPr>
          <w:rFonts w:eastAsia="Times New Roman"/>
          <w:b/>
          <w:bCs/>
          <w:lang w:val="en-IE"/>
        </w:rPr>
      </w:pPr>
      <w:r w:rsidRPr="00821090">
        <w:rPr>
          <w:rFonts w:eastAsia="Times New Roman"/>
          <w:b/>
          <w:bCs/>
          <w:lang w:val="en-IE"/>
        </w:rPr>
        <w:lastRenderedPageBreak/>
        <w:t>Concluding Remarks</w:t>
      </w:r>
    </w:p>
    <w:p w14:paraId="290B547A" w14:textId="483E44A5" w:rsidR="00821090" w:rsidRPr="00641DCA" w:rsidRDefault="00821090" w:rsidP="00A333C6">
      <w:pPr>
        <w:spacing w:after="120" w:line="240" w:lineRule="auto"/>
        <w:jc w:val="both"/>
        <w:rPr>
          <w:rFonts w:eastAsia="Times New Roman"/>
          <w:lang w:val="en-IE"/>
        </w:rPr>
      </w:pPr>
      <w:r w:rsidRPr="00641DCA">
        <w:rPr>
          <w:rFonts w:eastAsia="Times New Roman"/>
          <w:lang w:val="en-IE"/>
        </w:rPr>
        <w:t xml:space="preserve">ICOS and its members looks forward to constructively engaging with DAFM to ensure the timely and successful implementation of Regulation 2019/6. </w:t>
      </w:r>
    </w:p>
    <w:p w14:paraId="17DC5C80" w14:textId="0178DBEF" w:rsidR="00821090" w:rsidRDefault="00821090" w:rsidP="00A333C6">
      <w:pPr>
        <w:spacing w:after="120" w:line="240" w:lineRule="auto"/>
        <w:jc w:val="both"/>
        <w:rPr>
          <w:rFonts w:eastAsia="Times New Roman"/>
          <w:lang w:val="en-IE"/>
        </w:rPr>
      </w:pPr>
      <w:r w:rsidRPr="00641DCA">
        <w:rPr>
          <w:rFonts w:eastAsia="Times New Roman"/>
          <w:lang w:val="en-IE"/>
        </w:rPr>
        <w:t>We look forward to discussing the issues we have highlighted in this submission as some of our proposals will require significant investments by ICOS members and DAFM itself especially around IT</w:t>
      </w:r>
      <w:r w:rsidR="00641DCA" w:rsidRPr="00641DCA">
        <w:rPr>
          <w:rFonts w:eastAsia="Times New Roman"/>
          <w:lang w:val="en-IE"/>
        </w:rPr>
        <w:t xml:space="preserve">, method of prescription generation and subsequent integrity of dispensing models. </w:t>
      </w:r>
    </w:p>
    <w:p w14:paraId="149A16E6" w14:textId="7554EEC7" w:rsidR="00641DCA" w:rsidRDefault="00641DCA" w:rsidP="00A333C6">
      <w:pPr>
        <w:spacing w:after="120" w:line="240" w:lineRule="auto"/>
        <w:jc w:val="both"/>
        <w:rPr>
          <w:rFonts w:eastAsia="Times New Roman"/>
          <w:lang w:val="en-IE"/>
        </w:rPr>
      </w:pPr>
      <w:r>
        <w:rPr>
          <w:rFonts w:eastAsia="Times New Roman"/>
          <w:lang w:val="en-IE"/>
        </w:rPr>
        <w:t>In summary, ICOS is asking DAFM to consider the following:</w:t>
      </w:r>
    </w:p>
    <w:p w14:paraId="56594905" w14:textId="6F735A31" w:rsidR="00641DCA" w:rsidRDefault="00F63021" w:rsidP="00A333C6">
      <w:pPr>
        <w:pStyle w:val="ListParagraph"/>
        <w:numPr>
          <w:ilvl w:val="0"/>
          <w:numId w:val="2"/>
        </w:numPr>
        <w:spacing w:after="120" w:line="240" w:lineRule="auto"/>
        <w:jc w:val="both"/>
        <w:rPr>
          <w:rFonts w:eastAsia="Times New Roman"/>
          <w:lang w:val="en-IE"/>
        </w:rPr>
      </w:pPr>
      <w:r>
        <w:rPr>
          <w:rFonts w:eastAsia="Times New Roman"/>
          <w:lang w:val="en-IE"/>
        </w:rPr>
        <w:t>Continuation of the existing</w:t>
      </w:r>
      <w:r w:rsidR="00641DCA">
        <w:rPr>
          <w:rFonts w:eastAsia="Times New Roman"/>
          <w:lang w:val="en-IE"/>
        </w:rPr>
        <w:t xml:space="preserve"> LM network</w:t>
      </w:r>
      <w:r w:rsidR="00966929">
        <w:rPr>
          <w:rFonts w:eastAsia="Times New Roman"/>
          <w:lang w:val="en-IE"/>
        </w:rPr>
        <w:t xml:space="preserve"> as a recognised route of supply</w:t>
      </w:r>
      <w:r w:rsidR="009B51B1">
        <w:rPr>
          <w:rFonts w:eastAsia="Times New Roman"/>
          <w:lang w:val="en-IE"/>
        </w:rPr>
        <w:t>,</w:t>
      </w:r>
      <w:r w:rsidR="00966929">
        <w:rPr>
          <w:rFonts w:eastAsia="Times New Roman"/>
          <w:lang w:val="en-IE"/>
        </w:rPr>
        <w:t xml:space="preserve"> </w:t>
      </w:r>
      <w:r>
        <w:rPr>
          <w:rFonts w:eastAsia="Times New Roman"/>
          <w:lang w:val="en-IE"/>
        </w:rPr>
        <w:t xml:space="preserve">as expertly administered by suitably qualified personnel </w:t>
      </w:r>
      <w:r w:rsidR="00966929">
        <w:rPr>
          <w:rFonts w:eastAsia="Times New Roman"/>
          <w:lang w:val="en-IE"/>
        </w:rPr>
        <w:t>to ensure maximum and fair competition and availability for farmers.</w:t>
      </w:r>
    </w:p>
    <w:p w14:paraId="5327C127" w14:textId="35711B94" w:rsidR="00641DCA" w:rsidRDefault="00966929" w:rsidP="00A333C6">
      <w:pPr>
        <w:pStyle w:val="ListParagraph"/>
        <w:numPr>
          <w:ilvl w:val="0"/>
          <w:numId w:val="2"/>
        </w:numPr>
        <w:spacing w:after="120" w:line="240" w:lineRule="auto"/>
        <w:jc w:val="both"/>
        <w:rPr>
          <w:rFonts w:eastAsia="Times New Roman"/>
          <w:lang w:val="en-IE"/>
        </w:rPr>
      </w:pPr>
      <w:r>
        <w:rPr>
          <w:rFonts w:eastAsia="Times New Roman"/>
          <w:lang w:val="en-IE"/>
        </w:rPr>
        <w:t>Maintenance</w:t>
      </w:r>
      <w:r w:rsidR="00641DCA">
        <w:rPr>
          <w:rFonts w:eastAsia="Times New Roman"/>
          <w:lang w:val="en-IE"/>
        </w:rPr>
        <w:t xml:space="preserve"> and strengthening of </w:t>
      </w:r>
      <w:r w:rsidR="00F63021">
        <w:rPr>
          <w:rFonts w:eastAsia="Times New Roman"/>
          <w:lang w:val="en-IE"/>
        </w:rPr>
        <w:t>the holistic approach to herd health management</w:t>
      </w:r>
      <w:r>
        <w:rPr>
          <w:rFonts w:eastAsia="Times New Roman"/>
          <w:lang w:val="en-IE"/>
        </w:rPr>
        <w:t xml:space="preserve"> as</w:t>
      </w:r>
      <w:r w:rsidR="00F63021">
        <w:rPr>
          <w:rFonts w:eastAsia="Times New Roman"/>
          <w:lang w:val="en-IE"/>
        </w:rPr>
        <w:t xml:space="preserve"> implemented by co-ops through multi-disciplinary teams and veterinary oversight. </w:t>
      </w:r>
      <w:r>
        <w:rPr>
          <w:rFonts w:eastAsia="Times New Roman"/>
          <w:lang w:val="en-IE"/>
        </w:rPr>
        <w:t xml:space="preserve"> </w:t>
      </w:r>
    </w:p>
    <w:p w14:paraId="1C19733D" w14:textId="76B77B91" w:rsidR="00641DCA" w:rsidRDefault="00641DCA" w:rsidP="00A333C6">
      <w:pPr>
        <w:pStyle w:val="ListParagraph"/>
        <w:numPr>
          <w:ilvl w:val="0"/>
          <w:numId w:val="2"/>
        </w:numPr>
        <w:spacing w:after="120" w:line="240" w:lineRule="auto"/>
        <w:jc w:val="both"/>
        <w:rPr>
          <w:rFonts w:eastAsia="Times New Roman"/>
          <w:lang w:val="en-IE"/>
        </w:rPr>
      </w:pPr>
      <w:r>
        <w:rPr>
          <w:rFonts w:eastAsia="Times New Roman"/>
          <w:lang w:val="en-IE"/>
        </w:rPr>
        <w:t>Prescriptions available electronically on the AIM database</w:t>
      </w:r>
      <w:r w:rsidR="00756451">
        <w:rPr>
          <w:rFonts w:eastAsia="Times New Roman"/>
          <w:lang w:val="en-IE"/>
        </w:rPr>
        <w:t xml:space="preserve">. </w:t>
      </w:r>
    </w:p>
    <w:p w14:paraId="3CEC2C64" w14:textId="0BD4361E" w:rsidR="00641DCA" w:rsidRDefault="00641DCA" w:rsidP="00A333C6">
      <w:pPr>
        <w:pStyle w:val="ListParagraph"/>
        <w:numPr>
          <w:ilvl w:val="0"/>
          <w:numId w:val="2"/>
        </w:numPr>
        <w:spacing w:after="120" w:line="240" w:lineRule="auto"/>
        <w:jc w:val="both"/>
        <w:rPr>
          <w:rFonts w:eastAsia="Times New Roman"/>
          <w:lang w:val="en-IE"/>
        </w:rPr>
      </w:pPr>
      <w:r>
        <w:rPr>
          <w:rFonts w:eastAsia="Times New Roman"/>
          <w:lang w:val="en-IE"/>
        </w:rPr>
        <w:t>Prescriptions can be generated on the basis of data driven decisions</w:t>
      </w:r>
      <w:r w:rsidR="00EA3BC4">
        <w:rPr>
          <w:rFonts w:eastAsia="Times New Roman"/>
          <w:lang w:val="en-IE"/>
        </w:rPr>
        <w:t xml:space="preserve"> (</w:t>
      </w:r>
      <w:r w:rsidR="00756451">
        <w:rPr>
          <w:rFonts w:ascii="Calibri" w:eastAsia="Times New Roman" w:hAnsi="Calibri" w:cs="Calibri"/>
          <w:color w:val="000000"/>
          <w:lang w:eastAsia="en-GB"/>
        </w:rPr>
        <w:t>milk recording, milk culturing &amp; sensitivity testing, faecal egg count results, antibody detection tests</w:t>
      </w:r>
      <w:r w:rsidR="00756451">
        <w:rPr>
          <w:rFonts w:eastAsia="Times New Roman"/>
          <w:lang w:val="en-IE"/>
        </w:rPr>
        <w:t xml:space="preserve">) </w:t>
      </w:r>
      <w:r>
        <w:rPr>
          <w:rFonts w:eastAsia="Times New Roman"/>
          <w:lang w:val="en-IE"/>
        </w:rPr>
        <w:t xml:space="preserve">under the other assessment method, where appropriate. </w:t>
      </w:r>
    </w:p>
    <w:p w14:paraId="23CD50FE" w14:textId="77777777" w:rsidR="00966929" w:rsidRDefault="00641DCA" w:rsidP="00A333C6">
      <w:pPr>
        <w:pStyle w:val="ListParagraph"/>
        <w:numPr>
          <w:ilvl w:val="0"/>
          <w:numId w:val="2"/>
        </w:numPr>
        <w:spacing w:after="120" w:line="240" w:lineRule="auto"/>
        <w:jc w:val="both"/>
        <w:rPr>
          <w:rFonts w:eastAsia="Times New Roman"/>
          <w:lang w:val="en-IE"/>
        </w:rPr>
      </w:pPr>
      <w:r>
        <w:rPr>
          <w:rFonts w:eastAsia="Times New Roman"/>
          <w:lang w:val="en-IE"/>
        </w:rPr>
        <w:t xml:space="preserve">Considered implementation of the transition from BDCT to SDCT, that will not result in a decline in milk quality standards, placing the Irish dairy industry at a competitive disadvantage compared to international milk processors. </w:t>
      </w:r>
    </w:p>
    <w:p w14:paraId="35983475" w14:textId="290D0889" w:rsidR="001D3855" w:rsidRDefault="00966929" w:rsidP="00A333C6">
      <w:pPr>
        <w:pStyle w:val="ListParagraph"/>
        <w:numPr>
          <w:ilvl w:val="0"/>
          <w:numId w:val="2"/>
        </w:numPr>
        <w:spacing w:after="120" w:line="240" w:lineRule="auto"/>
        <w:jc w:val="both"/>
        <w:rPr>
          <w:rFonts w:eastAsia="Times New Roman"/>
          <w:lang w:val="en-IE"/>
        </w:rPr>
      </w:pPr>
      <w:r>
        <w:rPr>
          <w:rFonts w:eastAsia="Times New Roman"/>
          <w:lang w:val="en-IE"/>
        </w:rPr>
        <w:t xml:space="preserve">Recognition of the fact that the transition from BDCT to SDCT will result in a substantial investment at industry level to ensure compliance with the 2022 deadline. </w:t>
      </w:r>
    </w:p>
    <w:p w14:paraId="2DF85790" w14:textId="0774CD37" w:rsidR="005C0150" w:rsidRDefault="00F63021" w:rsidP="00A333C6">
      <w:pPr>
        <w:pStyle w:val="ListParagraph"/>
        <w:numPr>
          <w:ilvl w:val="0"/>
          <w:numId w:val="2"/>
        </w:numPr>
        <w:spacing w:after="120" w:line="240" w:lineRule="auto"/>
        <w:jc w:val="both"/>
        <w:rPr>
          <w:rFonts w:eastAsia="Times New Roman"/>
          <w:lang w:val="en-IE"/>
        </w:rPr>
      </w:pPr>
      <w:r>
        <w:rPr>
          <w:rFonts w:eastAsia="Times New Roman"/>
          <w:lang w:val="en-IE"/>
        </w:rPr>
        <w:t>Align</w:t>
      </w:r>
      <w:r w:rsidR="002B6E85">
        <w:rPr>
          <w:rFonts w:eastAsia="Times New Roman"/>
          <w:lang w:val="en-IE"/>
        </w:rPr>
        <w:t>ment of national objectives in the area of AMR, animal health and welfare and the environment.</w:t>
      </w:r>
    </w:p>
    <w:p w14:paraId="13DBFB38" w14:textId="2184E76F" w:rsidR="00391D14" w:rsidRPr="007D026A" w:rsidRDefault="00391D14" w:rsidP="00A333C6">
      <w:pPr>
        <w:pStyle w:val="ListParagraph"/>
        <w:numPr>
          <w:ilvl w:val="0"/>
          <w:numId w:val="2"/>
        </w:numPr>
        <w:spacing w:after="120" w:line="240" w:lineRule="auto"/>
      </w:pPr>
      <w:r>
        <w:t xml:space="preserve">The ICOS proposal facilitates the </w:t>
      </w:r>
      <w:r w:rsidRPr="007D026A">
        <w:t>need for a national prescription</w:t>
      </w:r>
      <w:r>
        <w:t xml:space="preserve">, </w:t>
      </w:r>
      <w:r w:rsidRPr="007D026A">
        <w:t>dispensing</w:t>
      </w:r>
      <w:r>
        <w:t xml:space="preserve"> and u</w:t>
      </w:r>
      <w:r w:rsidRPr="007D026A">
        <w:t>sage database</w:t>
      </w:r>
      <w:r w:rsidR="00EA3BC4">
        <w:t xml:space="preserve"> as per Regulation 2019/6</w:t>
      </w:r>
      <w:r w:rsidRPr="00112C63">
        <w:t xml:space="preserve">. This </w:t>
      </w:r>
      <w:r w:rsidRPr="007D026A">
        <w:t>will allow measurement &amp; benchmarking</w:t>
      </w:r>
      <w:r w:rsidRPr="00112C63">
        <w:t xml:space="preserve">, </w:t>
      </w:r>
      <w:r w:rsidRPr="007D026A">
        <w:t>which is critical to identify &amp; manage AMU</w:t>
      </w:r>
      <w:r w:rsidRPr="00112C63">
        <w:t xml:space="preserve">. </w:t>
      </w:r>
    </w:p>
    <w:p w14:paraId="26F1587A" w14:textId="77777777" w:rsidR="00391D14" w:rsidRPr="00A333C6" w:rsidRDefault="00391D14" w:rsidP="00A333C6">
      <w:pPr>
        <w:spacing w:after="120" w:line="240" w:lineRule="auto"/>
        <w:jc w:val="both"/>
        <w:rPr>
          <w:rFonts w:eastAsia="Times New Roman"/>
          <w:lang w:val="en-IE"/>
        </w:rPr>
      </w:pPr>
    </w:p>
    <w:p w14:paraId="6E2AE77E" w14:textId="0E662103" w:rsidR="000029EB" w:rsidRDefault="000029EB" w:rsidP="00A333C6">
      <w:pPr>
        <w:spacing w:after="120" w:line="240" w:lineRule="auto"/>
        <w:rPr>
          <w:rFonts w:eastAsia="Times New Roman"/>
          <w:lang w:val="en-IE"/>
        </w:rPr>
      </w:pPr>
    </w:p>
    <w:p w14:paraId="7F0D3A0A" w14:textId="693C5C52" w:rsidR="00D34A26" w:rsidRDefault="00D34A26" w:rsidP="00A333C6">
      <w:pPr>
        <w:spacing w:after="120" w:line="240" w:lineRule="auto"/>
        <w:rPr>
          <w:rFonts w:eastAsia="Times New Roman"/>
          <w:lang w:val="en-IE"/>
        </w:rPr>
      </w:pPr>
      <w:r>
        <w:object w:dxaOrig="17113" w:dyaOrig="7934" w14:anchorId="103F5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54pt" o:ole="">
            <v:imagedata r:id="rId8" o:title="" gain="2147483647f" blacklevel="-9830f" grayscale="t" bilevel="t"/>
          </v:shape>
          <o:OLEObject Type="Embed" ProgID="MSPhotoEd.3" ShapeID="_x0000_i1025" DrawAspect="Content" ObjectID="_1641974196" r:id="rId9"/>
        </w:object>
      </w:r>
    </w:p>
    <w:p w14:paraId="631A9E12" w14:textId="1D9BCE49" w:rsidR="00D34A26" w:rsidRDefault="00D34A26" w:rsidP="00D34A26">
      <w:pPr>
        <w:spacing w:after="0" w:line="240" w:lineRule="auto"/>
        <w:rPr>
          <w:rFonts w:eastAsia="Times New Roman"/>
          <w:lang w:val="en-IE"/>
        </w:rPr>
      </w:pPr>
      <w:r>
        <w:rPr>
          <w:rFonts w:eastAsia="Times New Roman"/>
          <w:lang w:val="en-IE"/>
        </w:rPr>
        <w:t>______________________</w:t>
      </w:r>
    </w:p>
    <w:p w14:paraId="7D457785" w14:textId="36A58E40" w:rsidR="00D34A26" w:rsidRDefault="00D34A26" w:rsidP="00D34A26">
      <w:pPr>
        <w:spacing w:after="0" w:line="240" w:lineRule="auto"/>
        <w:rPr>
          <w:rFonts w:eastAsia="Times New Roman"/>
          <w:lang w:val="en-IE"/>
        </w:rPr>
      </w:pPr>
      <w:r>
        <w:rPr>
          <w:rFonts w:eastAsia="Times New Roman"/>
          <w:lang w:val="en-IE"/>
        </w:rPr>
        <w:t>Ray Doyle</w:t>
      </w:r>
    </w:p>
    <w:p w14:paraId="084F0020" w14:textId="4CC1BE79" w:rsidR="00D34A26" w:rsidRDefault="00D34A26" w:rsidP="00D34A26">
      <w:pPr>
        <w:spacing w:after="0" w:line="240" w:lineRule="auto"/>
        <w:rPr>
          <w:rFonts w:eastAsia="Times New Roman"/>
          <w:lang w:val="en-IE"/>
        </w:rPr>
      </w:pPr>
      <w:r>
        <w:rPr>
          <w:rFonts w:eastAsia="Times New Roman"/>
          <w:lang w:val="en-IE"/>
        </w:rPr>
        <w:t>Livestock &amp; Environmental Services Executive</w:t>
      </w:r>
    </w:p>
    <w:p w14:paraId="16B32402" w14:textId="50B89142" w:rsidR="00FC4874" w:rsidRDefault="00FC4874" w:rsidP="00A333C6">
      <w:pPr>
        <w:spacing w:after="120" w:line="240" w:lineRule="auto"/>
        <w:rPr>
          <w:rFonts w:eastAsia="Times New Roman"/>
          <w:lang w:val="en-IE"/>
        </w:rPr>
      </w:pPr>
    </w:p>
    <w:p w14:paraId="53A96E1D" w14:textId="77777777" w:rsidR="007C47AE" w:rsidRDefault="007C47AE" w:rsidP="00A333C6">
      <w:pPr>
        <w:spacing w:after="120" w:line="240" w:lineRule="auto"/>
        <w:rPr>
          <w:rFonts w:eastAsia="Times New Roman"/>
          <w:lang w:val="en-IE"/>
        </w:rPr>
      </w:pPr>
    </w:p>
    <w:p w14:paraId="139A86AF" w14:textId="5A5CB70F" w:rsidR="00C24DDC" w:rsidRPr="005A5ED6" w:rsidRDefault="00C24DDC" w:rsidP="00A333C6">
      <w:pPr>
        <w:spacing w:after="120" w:line="240" w:lineRule="auto"/>
        <w:jc w:val="both"/>
        <w:rPr>
          <w:rFonts w:ascii="Calibri" w:eastAsia="Times New Roman" w:hAnsi="Calibri" w:cs="Calibri"/>
          <w:color w:val="000000"/>
          <w:lang w:eastAsia="en-GB"/>
        </w:rPr>
      </w:pPr>
    </w:p>
    <w:p w14:paraId="34F6DD58" w14:textId="77777777" w:rsidR="006B057B" w:rsidRDefault="006B057B" w:rsidP="00A333C6">
      <w:pPr>
        <w:spacing w:after="120" w:line="240" w:lineRule="auto"/>
        <w:jc w:val="both"/>
      </w:pPr>
    </w:p>
    <w:p w14:paraId="3156898E" w14:textId="2E2B2E5E" w:rsidR="00481169" w:rsidRDefault="00481169" w:rsidP="00A333C6">
      <w:pPr>
        <w:spacing w:after="120" w:line="240" w:lineRule="auto"/>
      </w:pPr>
    </w:p>
    <w:sectPr w:rsidR="00481169" w:rsidSect="00A333C6">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2932B" w14:textId="77777777" w:rsidR="00354611" w:rsidRDefault="00354611" w:rsidP="00B94681">
      <w:pPr>
        <w:spacing w:after="0" w:line="240" w:lineRule="auto"/>
      </w:pPr>
      <w:r>
        <w:separator/>
      </w:r>
    </w:p>
  </w:endnote>
  <w:endnote w:type="continuationSeparator" w:id="0">
    <w:p w14:paraId="2413AF62" w14:textId="77777777" w:rsidR="00354611" w:rsidRDefault="00354611" w:rsidP="00B9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2BD6F" w14:textId="77777777" w:rsidR="00354611" w:rsidRDefault="00354611" w:rsidP="00B94681">
      <w:pPr>
        <w:spacing w:after="0" w:line="240" w:lineRule="auto"/>
      </w:pPr>
      <w:r>
        <w:separator/>
      </w:r>
    </w:p>
  </w:footnote>
  <w:footnote w:type="continuationSeparator" w:id="0">
    <w:p w14:paraId="25ADD992" w14:textId="77777777" w:rsidR="00354611" w:rsidRDefault="00354611" w:rsidP="00B94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D0410" w14:textId="70D891AC" w:rsidR="00B94681" w:rsidRDefault="00B94681">
    <w:pPr>
      <w:pStyle w:val="Header"/>
    </w:pPr>
  </w:p>
  <w:p w14:paraId="7E2E4149" w14:textId="77777777" w:rsidR="00B94681" w:rsidRDefault="00B94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E63F3" w14:textId="645C2868" w:rsidR="00B058BF" w:rsidRDefault="002A34CF">
    <w:pPr>
      <w:pStyle w:val="Header"/>
    </w:pPr>
    <w:r>
      <w:rPr>
        <w:noProof/>
      </w:rPr>
      <w:pict w14:anchorId="539A4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8752;mso-wrap-edited:f;mso-position-horizontal:center;mso-position-horizontal-relative:margin;mso-position-vertical:center;mso-position-vertical-relative:margin" wrapcoords="18906 750 18770 807 18634 961 18634 1077 18825 1365 15125 1423 15125 2250 15506 2269 19097 2288 15152 2365 15125 2577 16322 2596 10827 2885 10800 19522 897 19753 897 19791 10800 19830 1006 19926 979 20118 5468 20138 1033 20253 1006 20426 10800 20445 1686 20580 1006 20599 924 21022 10800 21061 7426 21138 7426 21292 9820 21292 12785 21292 14744 21292 14717 21138 10800 21061 20783 21022 20811 20753 20620 20753 20620 20561 18389 20484 14826 20426 19777 20253 19777 19907 17111 19830 20783 19791 20783 19753 10800 19522 10800 2904 20267 2615 20348 2442 20185 2404 19314 2288 19505 2269 20185 2038 20185 1981 20321 1673 20294 1538 20022 1423 19586 1365 19777 1077 19777 980 19641 827 19505 750 18906 750">
          <v:imagedata r:id="rId1" o:title="ICOS Dublin Letter 20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012C1"/>
    <w:multiLevelType w:val="hybridMultilevel"/>
    <w:tmpl w:val="C284FEB8"/>
    <w:lvl w:ilvl="0" w:tplc="679416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E43BEA"/>
    <w:multiLevelType w:val="multilevel"/>
    <w:tmpl w:val="84CAB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88F0743"/>
    <w:multiLevelType w:val="hybridMultilevel"/>
    <w:tmpl w:val="BC2A2B8E"/>
    <w:lvl w:ilvl="0" w:tplc="A008E6DA">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3" w15:restartNumberingAfterBreak="0">
    <w:nsid w:val="6CA071CA"/>
    <w:multiLevelType w:val="hybridMultilevel"/>
    <w:tmpl w:val="77905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169"/>
    <w:rsid w:val="000029EB"/>
    <w:rsid w:val="00004E93"/>
    <w:rsid w:val="00043932"/>
    <w:rsid w:val="00047C03"/>
    <w:rsid w:val="00091372"/>
    <w:rsid w:val="000959E3"/>
    <w:rsid w:val="000F08E0"/>
    <w:rsid w:val="000F4EC0"/>
    <w:rsid w:val="001130B4"/>
    <w:rsid w:val="001160BC"/>
    <w:rsid w:val="001360AA"/>
    <w:rsid w:val="001C06CD"/>
    <w:rsid w:val="001D3855"/>
    <w:rsid w:val="001D5FF7"/>
    <w:rsid w:val="001D6156"/>
    <w:rsid w:val="00297895"/>
    <w:rsid w:val="002A34CF"/>
    <w:rsid w:val="002B6E85"/>
    <w:rsid w:val="002D5B68"/>
    <w:rsid w:val="00333957"/>
    <w:rsid w:val="00353E9E"/>
    <w:rsid w:val="00354611"/>
    <w:rsid w:val="003646B6"/>
    <w:rsid w:val="00391D14"/>
    <w:rsid w:val="00463027"/>
    <w:rsid w:val="00481169"/>
    <w:rsid w:val="0048737B"/>
    <w:rsid w:val="004A70BA"/>
    <w:rsid w:val="004E18EB"/>
    <w:rsid w:val="00536A81"/>
    <w:rsid w:val="0055717B"/>
    <w:rsid w:val="005A5ED6"/>
    <w:rsid w:val="005C0150"/>
    <w:rsid w:val="006132C9"/>
    <w:rsid w:val="00641DCA"/>
    <w:rsid w:val="006A2168"/>
    <w:rsid w:val="006B057B"/>
    <w:rsid w:val="006E6B5C"/>
    <w:rsid w:val="006F031A"/>
    <w:rsid w:val="00703FAD"/>
    <w:rsid w:val="00724397"/>
    <w:rsid w:val="00756451"/>
    <w:rsid w:val="007C47AE"/>
    <w:rsid w:val="00821090"/>
    <w:rsid w:val="00881FFE"/>
    <w:rsid w:val="008F2D24"/>
    <w:rsid w:val="00966929"/>
    <w:rsid w:val="00991490"/>
    <w:rsid w:val="00994E78"/>
    <w:rsid w:val="009B51B1"/>
    <w:rsid w:val="009F657A"/>
    <w:rsid w:val="00A333C6"/>
    <w:rsid w:val="00A46AF1"/>
    <w:rsid w:val="00A522E4"/>
    <w:rsid w:val="00A529DF"/>
    <w:rsid w:val="00AA7C25"/>
    <w:rsid w:val="00AC24F0"/>
    <w:rsid w:val="00AF490A"/>
    <w:rsid w:val="00B04BE7"/>
    <w:rsid w:val="00B058BF"/>
    <w:rsid w:val="00B94681"/>
    <w:rsid w:val="00BC1CC4"/>
    <w:rsid w:val="00BF74DF"/>
    <w:rsid w:val="00C24DDC"/>
    <w:rsid w:val="00C25D0C"/>
    <w:rsid w:val="00C80D58"/>
    <w:rsid w:val="00C87282"/>
    <w:rsid w:val="00CA26AE"/>
    <w:rsid w:val="00D22CA7"/>
    <w:rsid w:val="00D34A26"/>
    <w:rsid w:val="00D70C70"/>
    <w:rsid w:val="00DC6875"/>
    <w:rsid w:val="00E01E70"/>
    <w:rsid w:val="00E205A0"/>
    <w:rsid w:val="00E36E6F"/>
    <w:rsid w:val="00EA3BC4"/>
    <w:rsid w:val="00EA5673"/>
    <w:rsid w:val="00ED282F"/>
    <w:rsid w:val="00EE6250"/>
    <w:rsid w:val="00F145F8"/>
    <w:rsid w:val="00F63021"/>
    <w:rsid w:val="00FC16B0"/>
    <w:rsid w:val="00FC4874"/>
    <w:rsid w:val="00FE5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4A2D96B"/>
  <w15:chartTrackingRefBased/>
  <w15:docId w15:val="{ABAD4E44-09AE-43DE-9B6F-785ACD43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681"/>
  </w:style>
  <w:style w:type="paragraph" w:styleId="Footer">
    <w:name w:val="footer"/>
    <w:basedOn w:val="Normal"/>
    <w:link w:val="FooterChar"/>
    <w:uiPriority w:val="99"/>
    <w:unhideWhenUsed/>
    <w:rsid w:val="00B94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681"/>
  </w:style>
  <w:style w:type="paragraph" w:styleId="ListParagraph">
    <w:name w:val="List Paragraph"/>
    <w:basedOn w:val="Normal"/>
    <w:uiPriority w:val="34"/>
    <w:qFormat/>
    <w:rsid w:val="00641DCA"/>
    <w:pPr>
      <w:ind w:left="720"/>
      <w:contextualSpacing/>
    </w:pPr>
  </w:style>
  <w:style w:type="character" w:styleId="CommentReference">
    <w:name w:val="annotation reference"/>
    <w:basedOn w:val="DefaultParagraphFont"/>
    <w:uiPriority w:val="99"/>
    <w:semiHidden/>
    <w:unhideWhenUsed/>
    <w:rsid w:val="00A46AF1"/>
    <w:rPr>
      <w:sz w:val="16"/>
      <w:szCs w:val="16"/>
    </w:rPr>
  </w:style>
  <w:style w:type="paragraph" w:styleId="CommentText">
    <w:name w:val="annotation text"/>
    <w:basedOn w:val="Normal"/>
    <w:link w:val="CommentTextChar"/>
    <w:uiPriority w:val="99"/>
    <w:semiHidden/>
    <w:unhideWhenUsed/>
    <w:rsid w:val="00A46AF1"/>
    <w:pPr>
      <w:spacing w:line="240" w:lineRule="auto"/>
    </w:pPr>
    <w:rPr>
      <w:sz w:val="20"/>
      <w:szCs w:val="20"/>
    </w:rPr>
  </w:style>
  <w:style w:type="character" w:customStyle="1" w:styleId="CommentTextChar">
    <w:name w:val="Comment Text Char"/>
    <w:basedOn w:val="DefaultParagraphFont"/>
    <w:link w:val="CommentText"/>
    <w:uiPriority w:val="99"/>
    <w:semiHidden/>
    <w:rsid w:val="00A46AF1"/>
    <w:rPr>
      <w:sz w:val="20"/>
      <w:szCs w:val="20"/>
    </w:rPr>
  </w:style>
  <w:style w:type="paragraph" w:styleId="CommentSubject">
    <w:name w:val="annotation subject"/>
    <w:basedOn w:val="CommentText"/>
    <w:next w:val="CommentText"/>
    <w:link w:val="CommentSubjectChar"/>
    <w:uiPriority w:val="99"/>
    <w:semiHidden/>
    <w:unhideWhenUsed/>
    <w:rsid w:val="00A46AF1"/>
    <w:rPr>
      <w:b/>
      <w:bCs/>
    </w:rPr>
  </w:style>
  <w:style w:type="character" w:customStyle="1" w:styleId="CommentSubjectChar">
    <w:name w:val="Comment Subject Char"/>
    <w:basedOn w:val="CommentTextChar"/>
    <w:link w:val="CommentSubject"/>
    <w:uiPriority w:val="99"/>
    <w:semiHidden/>
    <w:rsid w:val="00A46AF1"/>
    <w:rPr>
      <w:b/>
      <w:bCs/>
      <w:sz w:val="20"/>
      <w:szCs w:val="20"/>
    </w:rPr>
  </w:style>
  <w:style w:type="paragraph" w:styleId="BalloonText">
    <w:name w:val="Balloon Text"/>
    <w:basedOn w:val="Normal"/>
    <w:link w:val="BalloonTextChar"/>
    <w:uiPriority w:val="99"/>
    <w:semiHidden/>
    <w:unhideWhenUsed/>
    <w:rsid w:val="00A46A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A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68375">
      <w:bodyDiv w:val="1"/>
      <w:marLeft w:val="0"/>
      <w:marRight w:val="0"/>
      <w:marTop w:val="0"/>
      <w:marBottom w:val="0"/>
      <w:divBdr>
        <w:top w:val="none" w:sz="0" w:space="0" w:color="auto"/>
        <w:left w:val="none" w:sz="0" w:space="0" w:color="auto"/>
        <w:bottom w:val="none" w:sz="0" w:space="0" w:color="auto"/>
        <w:right w:val="none" w:sz="0" w:space="0" w:color="auto"/>
      </w:divBdr>
    </w:div>
    <w:div w:id="54429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2667</Words>
  <Characters>14835</Characters>
  <Application>Microsoft Office Word</Application>
  <DocSecurity>0</DocSecurity>
  <Lines>239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Eamonn Farrell</dc:creator>
  <cp:keywords/>
  <dc:description/>
  <cp:lastModifiedBy>Ciara MacLeod</cp:lastModifiedBy>
  <cp:revision>4</cp:revision>
  <cp:lastPrinted>2020-01-31T09:56:00Z</cp:lastPrinted>
  <dcterms:created xsi:type="dcterms:W3CDTF">2020-01-31T11:01:00Z</dcterms:created>
  <dcterms:modified xsi:type="dcterms:W3CDTF">2020-01-31T11:10:00Z</dcterms:modified>
</cp:coreProperties>
</file>